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hint="eastAsia" w:ascii="仿宋_GB2312" w:hAnsi="Times New Roman" w:eastAsia="仿宋_GB2312" w:cs="仿宋_GB2312"/>
          <w:sz w:val="32"/>
          <w:szCs w:val="32"/>
        </w:rPr>
      </w:pPr>
      <w:r>
        <w:rPr>
          <w:rFonts w:hint="eastAsia" w:ascii="方正小标宋简体" w:hAnsi="Times New Roman" w:eastAsia="方正小标宋简体"/>
          <w:sz w:val="36"/>
          <w:szCs w:val="36"/>
          <w:lang w:eastAsia="zh-CN"/>
        </w:rPr>
        <w:t>Budget für das erste angegliederte Krankenhaus der iversität im Jahr 20veröffentlicht</w:t>
      </w:r>
      <w:r>
        <w:rPr>
          <w:rFonts w:hint="eastAsia" w:ascii="黑体" w:hAnsi="Times New Roman" w:eastAsia="黑体" w:cs="黑体"/>
          <w:sz w:val="56"/>
          <w:szCs w:val="56"/>
        </w:rPr>
        <w:t>Inhichnis</w:t>
      </w:r>
      <w:r>
        <w:rPr>
          <w:rFonts w:hint="eastAsia" w:ascii="黑体" w:hAnsi="Times New Roman" w:eastAsia="黑体" w:cs="黑体"/>
          <w:sz w:val="32"/>
          <w:szCs w:val="32"/>
          <w:lang w:eastAsia="zh-CN"/>
        </w:rPr>
        <w:t>Teil I Überblick über das erste angegliederte Krankenhaus der Henan-Universität</w:t>
      </w:r>
      <w:r>
        <w:rPr>
          <w:rFonts w:hint="eastAsia" w:ascii="仿宋_GB2312" w:hAnsi="Times New Roman" w:eastAsia="仿宋_GB2312" w:cs="仿宋_GB2312"/>
          <w:sz w:val="32"/>
          <w:szCs w:val="32"/>
        </w:rPr>
        <w:t>Eine Hauptaufgabe</w:t>
      </w:r>
    </w:p>
    <w:p>
      <w:pPr>
        <w:kinsoku w:val="0"/>
        <w:overflowPunct w:val="0"/>
        <w:adjustRightInd w:val="0"/>
        <w:snapToGrid w:val="0"/>
        <w:spacing w:line="360" w:lineRule="auto"/>
        <w:ind w:right="521" w:firstLine="960" w:firstLineChars="300"/>
        <w:rPr>
          <w:rFonts w:hint="eastAsia" w:ascii="黑体" w:hAnsi="Times New Roman" w:eastAsia="黑体" w:cs="黑体"/>
          <w:w w:val="99"/>
          <w:sz w:val="32"/>
          <w:szCs w:val="32"/>
        </w:rPr>
      </w:pPr>
      <w:r>
        <w:rPr>
          <w:rFonts w:hint="eastAsia" w:ascii="仿宋_GB2312" w:hAnsi="Times New Roman" w:eastAsia="仿宋_GB2312" w:cs="仿宋_GB2312"/>
          <w:sz w:val="32"/>
          <w:szCs w:val="32"/>
        </w:rPr>
        <w:t>Zusammensetzung der beiden Einheiten</w:t>
      </w:r>
    </w:p>
    <w:p>
      <w:pPr>
        <w:kinsoku w:val="0"/>
        <w:overflowPunct w:val="0"/>
        <w:adjustRightInd w:val="0"/>
        <w:snapToGrid w:val="0"/>
        <w:spacing w:line="360" w:lineRule="auto"/>
        <w:ind w:right="521" w:firstLine="640" w:firstLineChars="200"/>
        <w:rPr>
          <w:rFonts w:ascii="黑体" w:hAnsi="Times New Roman" w:eastAsia="黑体" w:cs="黑体"/>
          <w:sz w:val="32"/>
          <w:szCs w:val="32"/>
        </w:rPr>
      </w:pPr>
      <w:r>
        <w:rPr>
          <w:rFonts w:hint="eastAsia" w:ascii="黑体" w:hAnsi="黑体" w:eastAsia="黑体"/>
          <w:sz w:val="32"/>
          <w:szCs w:val="32"/>
          <w:lang w:eastAsia="zh-CN"/>
        </w:rPr>
        <w:t>Teil II Erläuterung des Einheitsbudgets des ersten angegliederten Krankenhauses der Henan-Universität im Jahr 2023</w:t>
      </w:r>
      <w:bookmarkStart w:id="0" w:name="_GoBack"/>
      <w:bookmarkEnd w:id="0"/>
      <w:r>
        <w:rPr>
          <w:rFonts w:hint="eastAsia" w:ascii="黑体" w:hAnsi="Times New Roman" w:eastAsia="黑体" w:cs="黑体"/>
          <w:sz w:val="32"/>
          <w:szCs w:val="32"/>
        </w:rPr>
        <w:t>Teil III Interpretation von Substantiven</w:t>
      </w:r>
    </w:p>
    <w:p>
      <w:pPr>
        <w:kinsoku w:val="0"/>
        <w:overflowPunct w:val="0"/>
        <w:adjustRightInd w:val="0"/>
        <w:snapToGrid w:val="0"/>
        <w:spacing w:line="360" w:lineRule="auto"/>
        <w:ind w:firstLine="640" w:firstLineChars="200"/>
        <w:rPr>
          <w:rFonts w:ascii="仿宋_GB2312" w:hAnsi="Times New Roman" w:eastAsia="仿宋_GB2312" w:cs="仿宋_GB2312"/>
          <w:sz w:val="32"/>
          <w:szCs w:val="32"/>
        </w:rPr>
      </w:pPr>
      <w:r>
        <w:rPr>
          <w:rFonts w:hint="eastAsia" w:ascii="黑体" w:hAnsi="黑体" w:eastAsia="黑体"/>
          <w:sz w:val="32"/>
          <w:szCs w:val="32"/>
          <w:lang w:eastAsia="zh-CN"/>
        </w:rPr>
        <w:t>Anhang Haushaltstabelle 2023 der ersten angegliederten Krankenhauseinheit der Henan-Universität</w:t>
      </w:r>
      <w:r>
        <w:rPr>
          <w:rFonts w:hint="eastAsia" w:ascii="仿宋_GB2312" w:eastAsia="仿宋_GB2312"/>
          <w:sz w:val="32"/>
          <w:szCs w:val="32"/>
        </w:rPr>
        <w:t>Gesamttabelle der Einnahmen und Ausgaben einer Einheit</w:t>
      </w:r>
    </w:p>
    <w:p>
      <w:pPr>
        <w:kinsoku w:val="0"/>
        <w:overflowPunct w:val="0"/>
        <w:adjustRightInd w:val="0"/>
        <w:snapToGrid w:val="0"/>
        <w:spacing w:line="360" w:lineRule="auto"/>
        <w:ind w:right="51" w:firstLine="960" w:firstLineChars="300"/>
        <w:jc w:val="left"/>
        <w:rPr>
          <w:rFonts w:ascii="仿宋_GB2312" w:hAnsi="Times New Roman" w:eastAsia="仿宋_GB2312" w:cs="仿宋_GB2312"/>
          <w:sz w:val="32"/>
          <w:szCs w:val="32"/>
        </w:rPr>
      </w:pPr>
      <w:r>
        <w:rPr>
          <w:rFonts w:hint="eastAsia" w:ascii="仿宋_GB2312" w:eastAsia="仿宋_GB2312"/>
          <w:sz w:val="32"/>
          <w:szCs w:val="32"/>
        </w:rPr>
        <w:t>Gesamttabelle des Einkommens der zweiten Einheit</w:t>
      </w:r>
    </w:p>
    <w:p>
      <w:pPr>
        <w:kinsoku w:val="0"/>
        <w:overflowPunct w:val="0"/>
        <w:adjustRightInd w:val="0"/>
        <w:snapToGrid w:val="0"/>
        <w:spacing w:line="360" w:lineRule="auto"/>
        <w:ind w:right="51" w:firstLine="960" w:firstLineChars="300"/>
        <w:jc w:val="left"/>
        <w:rPr>
          <w:rFonts w:ascii="仿宋_GB2312" w:eastAsia="仿宋_GB2312"/>
          <w:sz w:val="32"/>
          <w:szCs w:val="32"/>
        </w:rPr>
      </w:pPr>
      <w:r>
        <w:rPr>
          <w:rFonts w:hint="eastAsia" w:ascii="仿宋_GB2312" w:eastAsia="仿宋_GB2312"/>
          <w:sz w:val="32"/>
          <w:szCs w:val="32"/>
        </w:rPr>
        <w:t>Gesamtübersichtstabelle der Ausgaben für drei EinheitenIV Gesamtübersicht über Einnahmen und Ausgaben der Haushaltsmittel Übersicht über die Ausgaben des allgemeinen öffentlichen Haushalts</w:t>
      </w:r>
    </w:p>
    <w:p>
      <w:pPr>
        <w:kinsoku w:val="0"/>
        <w:overflowPunct w:val="0"/>
        <w:adjustRightInd w:val="0"/>
        <w:snapToGrid w:val="0"/>
        <w:spacing w:line="360" w:lineRule="auto"/>
        <w:ind w:right="51"/>
        <w:jc w:val="left"/>
        <w:rPr>
          <w:rFonts w:ascii="仿宋_GB2312" w:eastAsia="仿宋_GB2312"/>
          <w:sz w:val="32"/>
          <w:szCs w:val="32"/>
        </w:rPr>
      </w:pPr>
      <w:r>
        <w:rPr>
          <w:rFonts w:ascii="仿宋_GB2312" w:eastAsia="仿宋_GB2312"/>
          <w:sz w:val="32"/>
          <w:szCs w:val="32"/>
        </w:rPr>
        <w:t xml:space="preserve"> Tabelle der Basisausgaben des allgemeinen öffentlichen Haushalts</w:t>
      </w:r>
    </w:p>
    <w:p>
      <w:pPr>
        <w:kinsoku w:val="0"/>
        <w:overflowPunct w:val="0"/>
        <w:adjustRightInd w:val="0"/>
        <w:snapToGrid w:val="0"/>
        <w:spacing w:line="360" w:lineRule="auto"/>
        <w:ind w:right="51" w:firstLine="960" w:firstLineChars="300"/>
        <w:jc w:val="left"/>
        <w:rPr>
          <w:rFonts w:hint="eastAsia" w:ascii="仿宋_GB2312" w:hAnsi="Times New Roman" w:eastAsia="仿宋_GB2312" w:cs="仿宋_GB2312"/>
          <w:sz w:val="32"/>
          <w:szCs w:val="32"/>
        </w:rPr>
      </w:pPr>
      <w:r>
        <w:rPr>
          <w:rFonts w:hint="eastAsia" w:ascii="仿宋_GB2312" w:hAnsi="宋体" w:eastAsia="仿宋_GB2312" w:cs="宋体"/>
          <w:kern w:val="0"/>
          <w:sz w:val="32"/>
          <w:szCs w:val="32"/>
        </w:rPr>
        <w:t>Übersichtstabelle der wirtschaftlichen Klassifizierung der Ausgaben</w:t>
      </w:r>
      <w:r>
        <w:rPr>
          <w:rFonts w:hint="eastAsia" w:ascii="仿宋_GB2312" w:eastAsia="仿宋_GB2312"/>
          <w:sz w:val="32"/>
          <w:szCs w:val="32"/>
        </w:rPr>
        <w:t xml:space="preserve"> Allgemeiner öffentlicher Haushalt 3 Tabelle der öffentlichen Ausgaben</w:t>
      </w:r>
    </w:p>
    <w:p>
      <w:pPr>
        <w:kinsoku w:val="0"/>
        <w:overflowPunct w:val="0"/>
        <w:adjustRightInd w:val="0"/>
        <w:snapToGrid w:val="0"/>
        <w:spacing w:line="360" w:lineRule="auto"/>
        <w:ind w:right="51" w:firstLine="960" w:firstLineChars="300"/>
        <w:jc w:val="left"/>
        <w:rPr>
          <w:rFonts w:ascii="仿宋_GB2312" w:eastAsia="仿宋_GB2312"/>
          <w:sz w:val="32"/>
          <w:szCs w:val="32"/>
        </w:rPr>
      </w:pPr>
      <w:r>
        <w:rPr>
          <w:rFonts w:hint="eastAsia" w:ascii="仿宋_GB2312" w:eastAsia="仿宋_GB2312"/>
          <w:sz w:val="32"/>
          <w:szCs w:val="32"/>
        </w:rPr>
        <w:t>Tabelle der Haushaltsausgaben von neun staatlichen Fonds</w:t>
      </w:r>
    </w:p>
    <w:p>
      <w:pPr>
        <w:kinsoku w:val="0"/>
        <w:overflowPunct w:val="0"/>
        <w:adjustRightInd w:val="0"/>
        <w:snapToGrid w:val="0"/>
        <w:spacing w:line="360" w:lineRule="auto"/>
        <w:ind w:right="51" w:firstLine="960" w:firstLineChars="300"/>
        <w:jc w:val="left"/>
        <w:rPr>
          <w:rFonts w:hint="eastAsia" w:ascii="仿宋_GB2312" w:eastAsia="仿宋_GB2312"/>
          <w:sz w:val="32"/>
          <w:szCs w:val="32"/>
        </w:rPr>
      </w:pPr>
      <w:r>
        <w:rPr>
          <w:rFonts w:hint="eastAsia" w:ascii="仿宋_GB2312" w:eastAsia="仿宋_GB2312"/>
          <w:sz w:val="32"/>
          <w:szCs w:val="32"/>
        </w:rPr>
        <w:t>TEN-Ausgabentabelle</w:t>
      </w:r>
    </w:p>
    <w:p>
      <w:pPr>
        <w:kinsoku w:val="0"/>
        <w:overflowPunct w:val="0"/>
        <w:adjustRightInd w:val="0"/>
        <w:snapToGrid w:val="0"/>
        <w:spacing w:line="360" w:lineRule="auto"/>
        <w:ind w:right="51" w:firstLine="960" w:firstLineChars="300"/>
        <w:jc w:val="left"/>
        <w:rPr>
          <w:rFonts w:hint="eastAsia" w:ascii="仿宋_GB2312" w:hAnsi="Times New Roman" w:eastAsia="仿宋_GB2312" w:cs="仿宋_GB2312"/>
          <w:sz w:val="32"/>
          <w:szCs w:val="32"/>
        </w:rPr>
      </w:pPr>
      <w:r>
        <w:rPr>
          <w:rFonts w:hint="eastAsia" w:ascii="仿宋_GB2312" w:eastAsia="仿宋_GB2312"/>
          <w:sz w:val="32"/>
          <w:szCs w:val="32"/>
        </w:rPr>
        <w:t>Tabelle der Leistungsziele der Haushaltsposten der elf Provinzeinheiten</w:t>
      </w:r>
    </w:p>
    <w:p>
      <w:pPr>
        <w:adjustRightInd w:val="0"/>
        <w:snapToGrid w:val="0"/>
        <w:spacing w:line="360" w:lineRule="auto"/>
        <w:jc w:val="both"/>
        <w:rPr>
          <w:rFonts w:ascii="黑体" w:hAnsi="黑体" w:eastAsia="黑体"/>
          <w:sz w:val="32"/>
          <w:szCs w:val="32"/>
        </w:rPr>
      </w:pPr>
    </w:p>
    <w:p>
      <w:pPr>
        <w:adjustRightInd w:val="0"/>
        <w:snapToGrid w:val="0"/>
        <w:spacing w:line="360" w:lineRule="auto"/>
        <w:ind w:firstLine="640" w:firstLineChars="200"/>
        <w:rPr>
          <w:rFonts w:ascii="黑体" w:hAnsi="黑体" w:eastAsia="黑体"/>
          <w:sz w:val="32"/>
          <w:szCs w:val="32"/>
        </w:rPr>
      </w:pPr>
      <w:r>
        <w:rPr>
          <w:rFonts w:hint="eastAsia" w:ascii="黑体" w:hAnsi="黑体" w:eastAsia="黑体"/>
          <w:sz w:val="32"/>
          <w:szCs w:val="32"/>
          <w:lang w:eastAsia="zh-CN"/>
        </w:rPr>
        <w:t>Überblick über das erste angegliederte Krankenhaus der Hauptaufgaben des ersten angegliederten Krankenhauses der Henan-Universität</w:t>
      </w:r>
    </w:p>
    <w:p>
      <w:pPr>
        <w:adjustRightInd w:val="0"/>
        <w:snapToGrid w:val="0"/>
        <w:spacing w:line="360" w:lineRule="auto"/>
        <w:ind w:firstLine="632" w:firstLineChars="200"/>
        <w:rPr>
          <w:rFonts w:ascii="黑体" w:hAnsi="黑体" w:eastAsia="黑体"/>
          <w:sz w:val="32"/>
          <w:szCs w:val="32"/>
        </w:rPr>
      </w:pPr>
      <w:r>
        <w:rPr>
          <w:rFonts w:hint="eastAsia" w:ascii="仿宋" w:hAnsi="仿宋" w:eastAsia="仿宋" w:cs="仿宋"/>
          <w:color w:val="000000"/>
          <w:spacing w:val="8"/>
          <w:kern w:val="0"/>
          <w:sz w:val="30"/>
          <w:szCs w:val="30"/>
          <w:shd w:val="clear" w:color="auto" w:fill="FFFFFF"/>
          <w:lang w:val="en-US" w:eastAsia="zh-CN" w:bidi="ar-SA"/>
        </w:rPr>
        <w:t>Das erste angegliederte Krankenhaus der Henan-Universität wird im Folgenden als Krankenhaus bezeichnet. Es ist ein Krankenhaus direkt unter der Provinz. Es ist ein allgemeines Krankenhaus der dritten Ebene. Es wurdn Avenue, Kaifeng, Provinz Henan. Das eingetragene Kapital beträgt 181,31 Millionen Yuan. Der derzeitige gesetzliche Vertreter Zhang Shuanglin Es ist ein nationales tertiäres Krankenhaus, das medizinische Lehre, wissenschaftliche Forschung, Prävention, Rehabilitation und Erste Hilfe integriert Es ist die erste Charge standardisierter Ausbildungsbasen für Allgemeinmediziner ierte Ausbildungsbasens Bildungsministeriums, neue ländliche Genossenschaftsmedizin in den Provinzen und Städten, Kaifeng Krankenversicherung für Stadtbewohner, Krankenversicherung für Stadtbewohner und andere ausgewiesene Krankenhäuser  Es ist die Lehrbasis für die Ausbildung fortgeschrittener medizinischer und gesundheitlicher Talente in der Provinz Henan. Es ist eine autorisierte Einheit für professionelle und akademische Master-Abschlüsse in der klinischen Medizin der ersten Stufe, die 20 sekundäre Disziplinen abdeckt und mehrnan-Universität übernimmt. Der intelligente Aufbau von Krankenhausinformationen hält mit der Entwicklung der Zeit Schritt, verwandelt das Prozess-Reengineering in den Kern des Aufbaus von Krankenhausinformationen, transformiert die Geschäftsstrategie, verbessert das Servicemodell und erreicht schließlich eine zufriedenere Patientenzufriedenheit Zum 31. Dezember 2022 betrug der durchschnittliche Personalbestand des Krankenhauses 1720 Angestellte 515 Nichtangestellte 1205 Gründe für die Entwicklung und Einrichtung des Krankenhauses Rentner 249 Personen 3.000 Betten in Krankenhäusern zum 31. Dezember</w:t>
      </w:r>
      <w:r>
        <w:rPr>
          <w:rFonts w:hint="eastAsia" w:ascii="黑体" w:hAnsi="黑体" w:eastAsia="黑体"/>
          <w:sz w:val="32"/>
          <w:szCs w:val="32"/>
          <w:lang w:eastAsia="zh-CN"/>
        </w:rPr>
        <w:t>r zweiten Henan-Universität</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632" w:firstLineChars="20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Haushaltseinheit Eine Einheit auf Unternehmensebene</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632" w:firstLineChars="20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Parteisekretär Zhang Qiumei</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632" w:firstLineChars="20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Dean Zhang Shuanglin</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632" w:firstLineChars="20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Stellvertretender Sekretär des Parteikomitees Sekretär der Disziplinarkommission Stellvertretender Präsident des Hauptbuchhalters Vorsitzender der</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632" w:firstLineChars="20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 xml:space="preserve">Interne institutionelle Einrichtung </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0" w:firstLineChars="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14 Abteilungen für Partei- und Regierungsverwaltung</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0" w:firstLineChars="0"/>
        <w:jc w:val="left"/>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3 Gruppenagenturen der Zweiten Kommission für Disziplinarkontrolle</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0" w:firstLineChars="0"/>
        <w:jc w:val="left"/>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20 Abteilungen in drei Geschäftsbereichen</w:t>
      </w:r>
    </w:p>
    <w:p>
      <w:pPr>
        <w:keepNext w:val="0"/>
        <w:keepLines w:val="0"/>
        <w:pageBreakBefore w:val="0"/>
        <w:widowControl/>
        <w:suppressLineNumbers w:val="0"/>
        <w:kinsoku/>
        <w:wordWrap/>
        <w:overflowPunct/>
        <w:topLinePunct w:val="0"/>
        <w:autoSpaceDE/>
        <w:autoSpaceDN/>
        <w:bidi w:val="0"/>
        <w:adjustRightInd/>
        <w:snapToGrid/>
        <w:spacing w:line="700" w:lineRule="exact"/>
        <w:ind w:firstLine="0" w:firstLineChars="0"/>
        <w:jc w:val="left"/>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51 in vier Geschäftsbereichen</w:t>
      </w:r>
    </w:p>
    <w:p>
      <w:pPr>
        <w:adjustRightInd w:val="0"/>
        <w:snapToGrid w:val="0"/>
        <w:spacing w:line="360" w:lineRule="auto"/>
        <w:jc w:val="both"/>
        <w:rPr>
          <w:rFonts w:ascii="黑体" w:hAnsi="黑体" w:eastAsia="黑体"/>
          <w:sz w:val="32"/>
          <w:szCs w:val="32"/>
        </w:rPr>
      </w:pPr>
      <w:r>
        <w:rPr>
          <w:rFonts w:hint="eastAsia" w:ascii="黑体" w:hAnsi="黑体" w:eastAsia="黑体"/>
          <w:sz w:val="32"/>
          <w:szCs w:val="32"/>
          <w:lang w:eastAsia="zh-CN"/>
        </w:rPr>
        <w:t>Beschreibung des Budgets 2023 des Ersten angegliederten Krankenhauses der Henan-Universität</w:t>
      </w:r>
    </w:p>
    <w:p>
      <w:pPr>
        <w:adjustRightInd w:val="0"/>
        <w:snapToGrid w:val="0"/>
        <w:spacing w:line="360" w:lineRule="auto"/>
        <w:ind w:firstLine="640" w:firstLineChars="200"/>
        <w:rPr>
          <w:rFonts w:ascii="黑体" w:hAnsi="黑体" w:eastAsia="黑体"/>
          <w:sz w:val="32"/>
          <w:szCs w:val="32"/>
        </w:rPr>
      </w:pPr>
    </w:p>
    <w:p>
      <w:pPr>
        <w:adjustRightInd w:val="0"/>
        <w:snapToGrid w:val="0"/>
        <w:spacing w:line="560" w:lineRule="exact"/>
        <w:ind w:firstLine="640" w:firstLineChars="200"/>
        <w:contextualSpacing/>
        <w:rPr>
          <w:rFonts w:ascii="黑体" w:hAnsi="黑体" w:eastAsia="黑体"/>
          <w:sz w:val="32"/>
          <w:szCs w:val="32"/>
        </w:rPr>
      </w:pPr>
      <w:r>
        <w:rPr>
          <w:rFonts w:hint="eastAsia" w:ascii="黑体" w:hAnsi="黑体" w:eastAsia="黑体"/>
          <w:sz w:val="32"/>
          <w:szCs w:val="32"/>
        </w:rPr>
        <w:t>Eine allgemeine Beschreibung des Einnahmen- und Ausgabenbudgets</w:t>
      </w:r>
    </w:p>
    <w:p>
      <w:pPr>
        <w:spacing w:line="560" w:lineRule="exact"/>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Die Einnahmen des ersten angegliederten Krankenhauses der Henan-Universität beliefen sich im Jahr 2023 auf 80,1379 Millionen Yuan, die Ausgaben auf 80,1379 Millionen Yuan und die Einnahmen auf 56,982 Millionen Yuan. Die Hauptgründe für die Auswirkungen der Epidemie sind die Verringerung des Neugeschäfts, die Entwicklung neuer Technologien und die kontinuierliche Verbesserung der medizinischen Qualität und der Servicefähigkeiten von Krankenhäusern. Die Ausgaben stiegen um 56,982 Millionen Yuan und stiegen um 7,65%. Dies war hauptsächlich auf den Anstieg der Investitionen in die Ausbildung des Personals für den Bau von Ausrüstungen, den Kauf von Einrichtungen und die Umgestaltung von Krankenhäusern, regionalen regionalen medizinischen Zentren und anderen Investitionen zurückzuführen.</w:t>
      </w:r>
    </w:p>
    <w:p>
      <w:pPr>
        <w:spacing w:line="560" w:lineRule="exact"/>
        <w:ind w:firstLine="640" w:firstLineChars="200"/>
        <w:rPr>
          <w:rFonts w:ascii="黑体" w:hAnsi="黑体" w:eastAsia="黑体"/>
          <w:sz w:val="32"/>
          <w:szCs w:val="32"/>
        </w:rPr>
      </w:pPr>
      <w:r>
        <w:rPr>
          <w:rFonts w:hint="eastAsia" w:ascii="黑体" w:hAnsi="黑体" w:eastAsia="黑体"/>
          <w:sz w:val="32"/>
          <w:szCs w:val="32"/>
        </w:rPr>
        <w:t>Allgemeiner Überblick über das zweite Einnahmenbudget</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lang w:eastAsia="zh-CN"/>
        </w:rPr>
        <w:t>Das Gesamteinkommen des ersten angegliederten Krankenhauses der Henan-Universität im Jahr 2023 betrug 80,379 Millionen Yuan, davon 5 Millionen Yuan im allgemeinen öffentlichen Haushalt; Geschäftseinkommen 764,379 Millionen Yuan Sonstige Einnahmen 32 Millionen</w:t>
      </w:r>
    </w:p>
    <w:p>
      <w:pPr>
        <w:spacing w:line="560" w:lineRule="exact"/>
        <w:ind w:firstLine="640" w:firstLineChars="200"/>
        <w:rPr>
          <w:rFonts w:hint="eastAsia" w:ascii="仿宋_GB2312" w:eastAsia="仿宋_GB2312"/>
          <w:sz w:val="32"/>
          <w:szCs w:val="32"/>
        </w:rPr>
      </w:pPr>
      <w:r>
        <w:rPr>
          <w:rFonts w:hint="eastAsia" w:ascii="黑体" w:hAnsi="黑体" w:eastAsia="黑体"/>
          <w:sz w:val="32"/>
          <w:szCs w:val="32"/>
        </w:rPr>
        <w:t>Allgemeine Beschreibung der drei Ausgabenbudgets</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lang w:eastAsia="zh-CN"/>
        </w:rPr>
        <w:t>Die Gesamtausgaben des ersten angegliederten Krankenhauses der Henan-Universität im Jahr 2023 beliefen sich auf 80,1379 Millionen Yuan, wovon 16,811 Millionen Yuan Sozial- und Sicherheitsausgaben 2,1% ausmachte7,7</w:t>
      </w:r>
      <w:r>
        <w:rPr>
          <w:rFonts w:hint="eastAsia" w:ascii="仿宋_GB2312" w:hAnsi="宋体" w:eastAsia="仿宋_GB2312" w:cs="Courier New"/>
          <w:sz w:val="32"/>
          <w:szCs w:val="32"/>
          <w:lang w:val="en-US" w:eastAsia="zh-CN"/>
        </w:rPr>
        <w:t xml:space="preserve">Ausgaben für Wohnraumsicherheit 1,1 Millionen Yuan Anteil </w:t>
      </w:r>
      <w:r>
        <w:rPr>
          <w:rFonts w:hint="eastAsia" w:ascii="黑体" w:hAnsi="黑体" w:eastAsia="黑体"/>
          <w:sz w:val="32"/>
          <w:szCs w:val="32"/>
        </w:rPr>
        <w:t>nen über die Einnahmen und Ausgaben der vier Finanzmittel</w:t>
      </w:r>
    </w:p>
    <w:p>
      <w:pPr>
        <w:spacing w:line="560" w:lineRule="exact"/>
        <w:ind w:firstLine="640" w:firstLineChars="200"/>
        <w:rPr>
          <w:rFonts w:hint="eastAsia" w:ascii="仿宋_GB2312" w:hAnsi="宋体" w:eastAsia="仿宋_GB2312" w:cs="Courier New"/>
          <w:sz w:val="32"/>
          <w:szCs w:val="32"/>
        </w:rPr>
      </w:pPr>
      <w:r>
        <w:rPr>
          <w:rFonts w:hint="eastAsia" w:ascii="仿宋_GB2312" w:eastAsia="仿宋_GB2312"/>
          <w:sz w:val="32"/>
          <w:szCs w:val="32"/>
          <w:lang w:eastAsia="zh-CN"/>
        </w:rPr>
        <w:t>Das erste angegliederte Krankenhaus der Henan-Universität hat 2023 ein allgemeines öffentliches Haushaltsbudget von 5 Millionen Yuan</w:t>
      </w:r>
    </w:p>
    <w:p>
      <w:pPr>
        <w:spacing w:line="560" w:lineRule="exact"/>
        <w:ind w:firstLine="640" w:firstLineChars="200"/>
        <w:rPr>
          <w:rFonts w:hint="eastAsia" w:ascii="仿宋_GB2312" w:eastAsia="仿宋_GB2312"/>
          <w:sz w:val="32"/>
          <w:szCs w:val="32"/>
        </w:rPr>
      </w:pPr>
      <w:r>
        <w:rPr>
          <w:rFonts w:hint="eastAsia" w:ascii="黑体" w:hAnsi="黑体" w:eastAsia="黑体"/>
          <w:sz w:val="32"/>
          <w:szCs w:val="32"/>
        </w:rPr>
        <w:t>5 Erläuterungen zu den Ausgaben des allgemeinen öffentlichen Haushalts</w:t>
      </w:r>
    </w:p>
    <w:p>
      <w:pPr>
        <w:spacing w:line="560" w:lineRule="exact"/>
        <w:ind w:firstLine="640" w:firstLineChars="200"/>
        <w:rPr>
          <w:rFonts w:hint="eastAsia" w:ascii="仿宋_GB2312" w:eastAsia="仿宋_GB2312"/>
          <w:sz w:val="32"/>
          <w:szCs w:val="32"/>
        </w:rPr>
      </w:pPr>
      <w:r>
        <w:rPr>
          <w:rFonts w:hint="eastAsia" w:ascii="仿宋_GB2312" w:hAnsi="宋体" w:eastAsia="仿宋_GB2312" w:cs="Courier New"/>
          <w:sz w:val="32"/>
          <w:szCs w:val="32"/>
        </w:rPr>
        <w:t>Die Ausgaben des ersten angegliederten Krankenhauses der Henan-Universität für den allgemeinen öffentlichen Haushalt für 2023 beliefen sich zu Beginn des Jahres auf 5 Millionen Yuan  Davon entfielen auf die Grundausgaben 10</w:t>
      </w:r>
      <w:r>
        <w:rPr>
          <w:rFonts w:hint="eastAsia" w:ascii="黑体" w:hAnsi="黑体" w:eastAsia="黑体"/>
          <w:sz w:val="32"/>
          <w:szCs w:val="32"/>
        </w:rPr>
        <w:t>Sechs Erläuterungen zu den Basisausgaben des allgemeinen öffentlichen Haushalts</w:t>
      </w:r>
    </w:p>
    <w:p>
      <w:pPr>
        <w:spacing w:line="560" w:lineRule="exact"/>
        <w:ind w:firstLine="640" w:firstLineChars="200"/>
        <w:rPr>
          <w:rFonts w:hint="eastAsia" w:ascii="仿宋_GB2312" w:eastAsia="仿宋_GB2312"/>
          <w:sz w:val="32"/>
          <w:szCs w:val="32"/>
        </w:rPr>
      </w:pPr>
      <w:r>
        <w:rPr>
          <w:rFonts w:hint="eastAsia" w:ascii="仿宋_GB2312" w:hAnsi="宋体" w:eastAsia="仿宋_GB2312" w:cs="Courier New"/>
          <w:sz w:val="32"/>
          <w:szCs w:val="32"/>
        </w:rPr>
        <w:t>Das erste angegliederte Krankenhaus der Henan-Universität h Haushalt zu Beginn des Jahres auf 107.000 Yuan veranschlagt Davon entfielen an auf Personalausgaben, die 100% ausmachten</w:t>
      </w:r>
    </w:p>
    <w:p>
      <w:pPr>
        <w:spacing w:line="560" w:lineRule="exact"/>
        <w:ind w:firstLine="640" w:firstLineChars="200"/>
        <w:rPr>
          <w:rFonts w:hint="eastAsia" w:ascii="仿宋_GB2312" w:eastAsia="仿宋_GB2312"/>
          <w:sz w:val="32"/>
          <w:szCs w:val="32"/>
        </w:rPr>
      </w:pPr>
      <w:r>
        <w:rPr>
          <w:rFonts w:hint="eastAsia" w:ascii="黑体" w:hAnsi="Times New Roman" w:eastAsia="黑体" w:cs="黑体"/>
          <w:kern w:val="0"/>
          <w:sz w:val="32"/>
          <w:szCs w:val="32"/>
        </w:rPr>
        <w:t>Erläuterung der öffentlichen Ausgaben</w:t>
      </w:r>
    </w:p>
    <w:p>
      <w:pPr>
        <w:spacing w:line="560" w:lineRule="exact"/>
        <w:ind w:firstLine="640" w:firstLineChars="200"/>
        <w:rPr>
          <w:rFonts w:hint="eastAsia" w:ascii="仿宋_GB2312" w:eastAsia="仿宋_GB2312"/>
          <w:sz w:val="32"/>
          <w:szCs w:val="32"/>
        </w:rPr>
      </w:pPr>
      <w:r>
        <w:rPr>
          <w:rFonts w:hint="eastAsia" w:ascii="仿宋_GB2312" w:hAnsi="宋体" w:eastAsia="仿宋_GB2312" w:cs="Courier New"/>
          <w:sz w:val="32"/>
          <w:szCs w:val="32"/>
        </w:rPr>
        <w:t>Das Budget unserer Einheit für die drei öffentlichen Mittel im Jahr 2023 beträgt 1 Million YuanDas Budget der drei öffentliche</w:t>
      </w:r>
    </w:p>
    <w:p>
      <w:pPr>
        <w:kinsoku w:val="0"/>
        <w:overflowPunct w:val="0"/>
        <w:autoSpaceDE w:val="0"/>
        <w:autoSpaceDN w:val="0"/>
        <w:adjustRightInd w:val="0"/>
        <w:snapToGrid w:val="0"/>
        <w:spacing w:line="360" w:lineRule="auto"/>
        <w:ind w:firstLine="640" w:firstLineChars="200"/>
        <w:rPr>
          <w:rFonts w:hint="eastAsia" w:ascii="仿宋_GB2312" w:hAnsi="宋体" w:eastAsia="仿宋_GB2312" w:cs="Courier New"/>
          <w:sz w:val="32"/>
          <w:szCs w:val="32"/>
        </w:rPr>
      </w:pPr>
      <w:r>
        <w:rPr>
          <w:rFonts w:hint="eastAsia" w:ascii="仿宋_GB2312" w:hAnsi="宋体" w:eastAsia="仿宋_GB2312" w:cs="Courier New"/>
          <w:sz w:val="32"/>
          <w:szCs w:val="32"/>
        </w:rPr>
        <w:t>Die spezifischen Ausgaben sind wie folgt</w:t>
      </w:r>
    </w:p>
    <w:p>
      <w:pPr>
        <w:kinsoku w:val="0"/>
        <w:overflowPunct w:val="0"/>
        <w:autoSpaceDE w:val="0"/>
        <w:autoSpaceDN w:val="0"/>
        <w:adjustRightInd w:val="0"/>
        <w:snapToGrid w:val="0"/>
        <w:spacing w:line="360" w:lineRule="auto"/>
        <w:ind w:firstLine="640" w:firstLineChars="200"/>
        <w:rPr>
          <w:rFonts w:hint="default" w:ascii="仿宋_GB2312" w:hAnsi="宋体" w:eastAsia="仿宋_GB2312" w:cs="Courier New"/>
          <w:sz w:val="32"/>
          <w:szCs w:val="32"/>
          <w:lang w:val="en-US" w:eastAsia="zh-CN"/>
        </w:rPr>
      </w:pPr>
      <w:r>
        <w:rPr>
          <w:rFonts w:hint="eastAsia" w:ascii="仿宋_GB2312" w:hAnsi="宋体" w:eastAsia="仿宋_GB2312" w:cs="Courier New"/>
          <w:sz w:val="32"/>
          <w:szCs w:val="32"/>
          <w:lang w:val="en-US" w:eastAsia="zh-CN"/>
        </w:rPr>
        <w:t>Offizielle Empfangsgebühr von n Betriebs- und Wartungskosten für Dienstfahrzeugean</w:t>
      </w:r>
    </w:p>
    <w:p>
      <w:pPr>
        <w:numPr>
          <w:ilvl w:val="0"/>
          <w:numId w:val="1"/>
        </w:numPr>
        <w:kinsoku w:val="0"/>
        <w:overflowPunct w:val="0"/>
        <w:autoSpaceDE w:val="0"/>
        <w:autoSpaceDN w:val="0"/>
        <w:adjustRightInd w:val="0"/>
        <w:snapToGrid w:val="0"/>
        <w:spacing w:line="360" w:lineRule="auto"/>
        <w:ind w:firstLine="640" w:firstLineChars="200"/>
        <w:rPr>
          <w:rFonts w:hint="eastAsia" w:ascii="仿宋_GB2312" w:hAnsi="宋体" w:eastAsia="仿宋_GB2312" w:cs="Courier New"/>
          <w:sz w:val="32"/>
          <w:szCs w:val="32"/>
        </w:rPr>
      </w:pPr>
      <w:r>
        <w:rPr>
          <w:rFonts w:hint="eastAsia" w:ascii="仿宋_GB2312" w:hAnsi="宋体" w:eastAsia="仿宋_GB2312" w:cs="Courier New"/>
          <w:sz w:val="32"/>
          <w:szCs w:val="32"/>
        </w:rPr>
        <w:t>Die Kosten für Auslandsreisen in Höhe von 100.000 Yuan werden hauptsächlich für Unterbringung, Reisen, Verpflegung, sonstige Ausgaben, Schulungen und andere Ausgaben für Mitarbeiter der Einheit verwendet, die ins Ausland reisen</w:t>
      </w:r>
    </w:p>
    <w:p>
      <w:pPr>
        <w:numPr>
          <w:ilvl w:val="0"/>
          <w:numId w:val="1"/>
        </w:numPr>
        <w:kinsoku w:val="0"/>
        <w:overflowPunct w:val="0"/>
        <w:autoSpaceDE w:val="0"/>
        <w:autoSpaceDN w:val="0"/>
        <w:adjustRightInd w:val="0"/>
        <w:snapToGrid w:val="0"/>
        <w:spacing w:line="360" w:lineRule="auto"/>
        <w:ind w:left="0" w:leftChars="0" w:firstLine="640" w:firstLineChars="200"/>
        <w:rPr>
          <w:rFonts w:hint="eastAsia" w:ascii="仿宋_GB2312" w:hAnsi="宋体" w:eastAsia="仿宋_GB2312" w:cs="Courier New"/>
          <w:sz w:val="32"/>
          <w:szCs w:val="32"/>
        </w:rPr>
      </w:pPr>
      <w:r>
        <w:rPr>
          <w:rFonts w:hint="eastAsia" w:ascii="仿宋_GB2312" w:hAnsi="宋体" w:eastAsia="仿宋_GB2312" w:cs="Courier New"/>
          <w:sz w:val="32"/>
          <w:szCs w:val="32"/>
        </w:rPr>
        <w:t>Die offizielle Empfangsgebühr von 520.000 Yuan wird hauptsächlich für verschiedene Arten von offiziellen Empfängen verwendet, einschließlich der Ausgaben für ausländische Gäste, die gemäß den Vorschriften ausgegeben werden</w:t>
      </w:r>
    </w:p>
    <w:p>
      <w:pPr>
        <w:numPr>
          <w:ilvl w:val="0"/>
          <w:numId w:val="0"/>
        </w:numPr>
        <w:kinsoku w:val="0"/>
        <w:overflowPunct w:val="0"/>
        <w:autoSpaceDE w:val="0"/>
        <w:autoSpaceDN w:val="0"/>
        <w:adjustRightInd w:val="0"/>
        <w:snapToGrid w:val="0"/>
        <w:spacing w:line="360" w:lineRule="auto"/>
        <w:ind w:leftChars="200" w:firstLine="320" w:firstLineChars="100"/>
        <w:rPr>
          <w:rFonts w:hint="eastAsia" w:ascii="仿宋_GB2312" w:hAnsi="宋体" w:eastAsia="仿宋_GB2312" w:cs="Courier New"/>
          <w:sz w:val="32"/>
          <w:szCs w:val="32"/>
        </w:rPr>
      </w:pPr>
      <w:r>
        <w:rPr>
          <w:rFonts w:hint="eastAsia" w:ascii="仿宋_GB2312" w:hAnsi="宋体" w:eastAsia="仿宋_GB2312" w:cs="Courier New"/>
          <w:sz w:val="32"/>
          <w:szCs w:val="32"/>
        </w:rPr>
        <w:t>Drei Anschaffungs- und Betriebskosten für Dienstfahrzeugan, wovon die Anschaffungskosten für Dienstfahrzeugean betragen Die Betriebs- und Wartungskosten von Dienstfahrzeugen in Höhe von 480.000 Yuan werden hauptsächlich für die Kraftstoffkosten von Dienstfahrzeugen verwendet, die für die Arbeit erforderlich sind, Wartungskosten für Überfahrten, Überbrückungsgebühren, Versicherungskosten, Sicherheitsanreize und andere Ausgaben</w:t>
      </w:r>
    </w:p>
    <w:p>
      <w:pPr>
        <w:spacing w:line="560" w:lineRule="exact"/>
        <w:ind w:firstLine="640" w:firstLineChars="200"/>
        <w:rPr>
          <w:rFonts w:hint="eastAsia" w:ascii="仿宋_GB2312" w:eastAsia="仿宋_GB2312"/>
          <w:sz w:val="32"/>
          <w:szCs w:val="32"/>
        </w:rPr>
      </w:pPr>
      <w:r>
        <w:rPr>
          <w:rFonts w:hint="eastAsia" w:ascii="黑体" w:hAnsi="Times New Roman" w:eastAsia="黑体" w:cs="黑体"/>
          <w:kern w:val="0"/>
          <w:sz w:val="32"/>
          <w:szCs w:val="32"/>
        </w:rPr>
        <w:t>Acht Beschreibung der Haushaltsausgaben des Staatsfonds</w:t>
      </w:r>
    </w:p>
    <w:p>
      <w:pPr>
        <w:spacing w:line="560" w:lineRule="exact"/>
        <w:ind w:firstLine="640" w:firstLineChars="200"/>
        <w:rPr>
          <w:rFonts w:hint="eastAsia" w:ascii="仿宋_GB2312" w:eastAsia="仿宋_GB2312"/>
          <w:sz w:val="32"/>
          <w:szCs w:val="32"/>
        </w:rPr>
      </w:pPr>
      <w:r>
        <w:rPr>
          <w:rFonts w:hint="eastAsia" w:ascii="仿宋_GB2312" w:hAnsi="宋体" w:eastAsia="仿宋_GB2312" w:cs="Courier New"/>
          <w:sz w:val="32"/>
          <w:szCs w:val="32"/>
        </w:rPr>
        <w:t>Die Haushaltsausgaben unserer Einheit für den Regierungsfonds im Jahr 2023 betragen zu Beginn des Jahres an Die spezifischen Ausgabenbedingungen lauten wie folgt: Unsere Abteilung hae staatlichen Mittelzuweisungsvereinbarungen verwendet</w:t>
      </w:r>
    </w:p>
    <w:p>
      <w:pPr>
        <w:kinsoku w:val="0"/>
        <w:overflowPunct w:val="0"/>
        <w:autoSpaceDE w:val="0"/>
        <w:autoSpaceDN w:val="0"/>
        <w:adjustRightInd w:val="0"/>
        <w:snapToGrid w:val="0"/>
        <w:spacing w:line="360" w:lineRule="auto"/>
        <w:ind w:firstLine="640" w:firstLineChars="200"/>
        <w:rPr>
          <w:rFonts w:hint="eastAsia" w:ascii="仿宋_GB2312" w:hAnsi="宋体" w:eastAsia="仿宋_GB2312" w:cs="Courier New"/>
          <w:sz w:val="32"/>
          <w:szCs w:val="32"/>
        </w:rPr>
      </w:pPr>
      <w:r>
        <w:rPr>
          <w:rFonts w:hint="eastAsia" w:ascii="黑体" w:hAnsi="Times New Roman" w:eastAsia="黑体" w:cs="黑体"/>
          <w:kern w:val="0"/>
          <w:sz w:val="32"/>
          <w:szCs w:val="32"/>
        </w:rPr>
        <w:t>Neun andere wichtige Angelegenheiten Merkblatt Der folgende Betrag ist 0 und es ist noch eine Merkblatt erforderlich</w:t>
      </w:r>
    </w:p>
    <w:p>
      <w:pPr>
        <w:kinsoku w:val="0"/>
        <w:overflowPunct w:val="0"/>
        <w:autoSpaceDE w:val="0"/>
        <w:autoSpaceDN w:val="0"/>
        <w:adjustRightInd w:val="0"/>
        <w:snapToGrid w:val="0"/>
        <w:spacing w:line="360" w:lineRule="auto"/>
        <w:ind w:firstLine="643" w:firstLineChars="200"/>
        <w:rPr>
          <w:rFonts w:hint="eastAsia" w:ascii="仿宋_GB2312" w:hAnsi="宋体" w:eastAsia="仿宋_GB2312" w:cs="Courier New"/>
          <w:sz w:val="32"/>
          <w:szCs w:val="32"/>
        </w:rPr>
      </w:pPr>
      <w:r>
        <w:rPr>
          <w:rFonts w:hint="eastAsia" w:ascii="仿宋_GB2312" w:hAnsi="Times New Roman" w:eastAsia="仿宋_GB2312" w:cs="仿宋_GB2312"/>
          <w:b/>
          <w:kern w:val="0"/>
          <w:sz w:val="32"/>
          <w:szCs w:val="32"/>
        </w:rPr>
        <w:t>Betriebsmittel einer Verwaltungseinheit</w:t>
      </w:r>
    </w:p>
    <w:p>
      <w:pPr>
        <w:kinsoku w:val="0"/>
        <w:overflowPunct w:val="0"/>
        <w:autoSpaceDE w:val="0"/>
        <w:autoSpaceDN w:val="0"/>
        <w:adjustRightInd w:val="0"/>
        <w:snapToGrid w:val="0"/>
        <w:spacing w:line="360" w:lineRule="auto"/>
        <w:ind w:firstLine="640" w:firstLineChars="200"/>
        <w:rPr>
          <w:rFonts w:hint="eastAsia" w:ascii="楷体_GB2312" w:hAnsi="Times New Roman" w:eastAsia="仿宋_GB2312" w:cs="仿宋_GB2312"/>
          <w:b/>
          <w:kern w:val="0"/>
          <w:sz w:val="32"/>
          <w:szCs w:val="32"/>
          <w:lang w:eastAsia="zh-CN"/>
        </w:rPr>
      </w:pPr>
      <w:r>
        <w:rPr>
          <w:rFonts w:hint="eastAsia" w:ascii="仿宋_GB2312" w:eastAsia="仿宋_GB2312"/>
          <w:sz w:val="32"/>
          <w:szCs w:val="32"/>
          <w:lang w:eastAsia="zh-CN"/>
        </w:rPr>
        <w:t>Das erste angegliederte Krankenhaus der ersität haan für den institutionellen Betrieb</w:t>
      </w:r>
      <w:r>
        <w:rPr>
          <w:rFonts w:hint="eastAsia" w:ascii="仿宋_GB2312" w:hAnsi="Times New Roman" w:eastAsia="仿宋_GB2312" w:cs="仿宋_GB2312"/>
          <w:b/>
          <w:kern w:val="0"/>
          <w:sz w:val="32"/>
          <w:szCs w:val="32"/>
        </w:rPr>
        <w:t>sgaben für das öffentliche Beschaffungswesen</w:t>
      </w:r>
      <w:r>
        <w:rPr>
          <w:rFonts w:hint="eastAsia" w:ascii="仿宋_GB2312" w:eastAsia="仿宋_GB2312"/>
          <w:sz w:val="32"/>
          <w:szCs w:val="32"/>
        </w:rPr>
        <w:t xml:space="preserve"> Budget für das öffentliche Beschaffungswesen an</w:t>
      </w:r>
    </w:p>
    <w:p>
      <w:pPr>
        <w:kinsoku w:val="0"/>
        <w:overflowPunct w:val="0"/>
        <w:autoSpaceDE w:val="0"/>
        <w:autoSpaceDN w:val="0"/>
        <w:adjustRightInd w:val="0"/>
        <w:snapToGrid w:val="0"/>
        <w:spacing w:line="360" w:lineRule="auto"/>
        <w:ind w:firstLine="643" w:firstLineChars="200"/>
        <w:rPr>
          <w:rFonts w:hint="eastAsia" w:ascii="仿宋_GB2312" w:hAnsi="宋体" w:eastAsia="仿宋_GB2312" w:cs="Courier New"/>
          <w:sz w:val="32"/>
          <w:szCs w:val="32"/>
        </w:rPr>
      </w:pPr>
      <w:r>
        <w:rPr>
          <w:rFonts w:ascii="仿宋_GB2312" w:hAnsi="Times New Roman" w:eastAsia="仿宋_GB2312" w:cs="仿宋_GB2312"/>
          <w:b/>
          <w:kern w:val="0"/>
          <w:sz w:val="32"/>
          <w:szCs w:val="32"/>
        </w:rPr>
        <w:t>tungsziele festlegen</w:t>
      </w:r>
      <w:r>
        <w:rPr>
          <w:rFonts w:ascii="仿宋_GB2312" w:hAnsi="宋体" w:eastAsia="仿宋_GB2312" w:cs="Courier New"/>
          <w:sz w:val="32"/>
          <w:szCs w:val="32"/>
        </w:rPr>
        <w:t>aushaltsposten unserer Einheit für 2023 haben die Leistungsziele gemäß den Anforderungenengestellt. Die Leistungsindikatoren spiegeln die Quantität der erwarteten Fertigstellung des Projekts, die Effektivität, die Qualität, die erwarteten sozialen und wirtschaftlichen Vorteile, die nachhaltigen Auswirkungen und die Zufriedenheit der Kunden wider.</w:t>
      </w:r>
    </w:p>
    <w:p>
      <w:pPr>
        <w:kinsoku w:val="0"/>
        <w:overflowPunct w:val="0"/>
        <w:autoSpaceDE w:val="0"/>
        <w:autoSpaceDN w:val="0"/>
        <w:adjustRightInd w:val="0"/>
        <w:snapToGrid w:val="0"/>
        <w:spacing w:line="360" w:lineRule="auto"/>
        <w:ind w:firstLine="643" w:firstLineChars="200"/>
        <w:rPr>
          <w:rFonts w:ascii="仿宋_GB2312" w:hAnsi="Times New Roman" w:eastAsia="仿宋_GB2312" w:cs="仿宋_GB2312"/>
          <w:b/>
          <w:kern w:val="0"/>
          <w:sz w:val="32"/>
          <w:szCs w:val="32"/>
        </w:rPr>
      </w:pPr>
      <w:r>
        <w:rPr>
          <w:rFonts w:hint="eastAsia" w:ascii="仿宋_GB2312" w:hAnsi="Times New Roman" w:eastAsia="仿宋_GB2312" w:cs="仿宋_GB2312"/>
          <w:b/>
          <w:kern w:val="0"/>
          <w:sz w:val="32"/>
          <w:szCs w:val="32"/>
        </w:rPr>
        <w:t>Besetzung staatlicher Vermögenswerte</w:t>
      </w:r>
    </w:p>
    <w:p>
      <w:pPr>
        <w:kinsoku w:val="0"/>
        <w:overflowPunct w:val="0"/>
        <w:autoSpaceDE w:val="0"/>
        <w:autoSpaceDN w:val="0"/>
        <w:adjustRightInd w:val="0"/>
        <w:snapToGrid w:val="0"/>
        <w:spacing w:line="360" w:lineRule="auto"/>
        <w:ind w:firstLine="640" w:firstLineChars="200"/>
        <w:rPr>
          <w:rFonts w:hint="eastAsia" w:ascii="黑体" w:hAnsi="黑体" w:eastAsia="黑体"/>
          <w:sz w:val="32"/>
          <w:szCs w:val="32"/>
        </w:rPr>
      </w:pPr>
      <w:r>
        <w:rPr>
          <w:rFonts w:hint="eastAsia" w:ascii="仿宋_GB2312" w:hAnsi="宋体" w:eastAsia="仿宋_GB2312" w:cs="Courier New"/>
          <w:sz w:val="32"/>
          <w:szCs w:val="32"/>
        </w:rPr>
        <w:t>Am Ende des Zeitraumsrzeuge in unserer Einheit, davon 0 allgemeine Dienstfahrzeuge 0 allgemeine Strafverfolgungsfahrzeuge 0 spezielle professionelle technische Fahrzeuge 0 andere Fahrzeug Sätze von allgemeinen Geräten mit einem Stückpreis von mehr als 500.000 Yuan und 62 Sätze von speziellen Geräten mit einem Stückwert von mehr als 1 Million Yuan</w:t>
      </w:r>
      <w:r>
        <w:rPr>
          <w:rFonts w:hint="eastAsia" w:ascii="黑体" w:hAnsi="黑体" w:eastAsia="黑体"/>
          <w:sz w:val="32"/>
          <w:szCs w:val="32"/>
        </w:rPr>
        <w:t>stantive</w:t>
      </w:r>
    </w:p>
    <w:p>
      <w:pPr>
        <w:kinsoku w:val="0"/>
        <w:overflowPunct w:val="0"/>
        <w:autoSpaceDE w:val="0"/>
        <w:autoSpaceDN w:val="0"/>
        <w:adjustRightInd w:val="0"/>
        <w:snapToGrid w:val="0"/>
        <w:spacing w:line="360" w:lineRule="auto"/>
        <w:ind w:firstLine="640" w:firstLineChars="200"/>
        <w:rPr>
          <w:rFonts w:ascii="仿宋_GB2312" w:hAnsi="宋体" w:eastAsia="仿宋_GB2312" w:cs="Courier New"/>
          <w:sz w:val="32"/>
          <w:szCs w:val="32"/>
        </w:rPr>
      </w:pPr>
      <w:r>
        <w:rPr>
          <w:rFonts w:hint="eastAsia" w:ascii="仿宋_GB2312" w:hAnsi="仿宋" w:eastAsia="仿宋_GB2312" w:cs="仿宋_GB2312"/>
          <w:sz w:val="32"/>
          <w:szCs w:val="32"/>
        </w:rPr>
        <w:t>Ein Steuereinkommen bezieht sich auf die Mittel, die von den Provinzfinanzen in diesem Jahr zugewiesen wurden Einschließlich allgemeiner Mittel aus dem öffentlichen Haushalt Mittel aus dem Staatsfonds Mittel aus dem Staatshaushalt Mittel aus dem Betriebshaushalt</w:t>
      </w:r>
    </w:p>
    <w:p>
      <w:pPr>
        <w:kinsoku w:val="0"/>
        <w:overflowPunct w:val="0"/>
        <w:autoSpaceDE w:val="0"/>
        <w:autoSpaceDN w:val="0"/>
        <w:adjustRightInd w:val="0"/>
        <w:snapToGrid w:val="0"/>
        <w:spacing w:line="360" w:lineRule="auto"/>
        <w:ind w:firstLine="640" w:firstLineChars="200"/>
        <w:rPr>
          <w:rFonts w:ascii="仿宋_GB2312" w:hAnsi="仿宋" w:eastAsia="仿宋_GB2312" w:cs="仿宋_GB2312"/>
          <w:sz w:val="32"/>
          <w:szCs w:val="32"/>
        </w:rPr>
      </w:pPr>
      <w:r>
        <w:rPr>
          <w:rFonts w:ascii="仿宋_GB2312" w:hAnsi="仿宋" w:eastAsia="仿宋_GB2312" w:cs="仿宋_GB2312"/>
          <w:sz w:val="32"/>
          <w:szCs w:val="32"/>
        </w:rPr>
        <w:t>Finanzkontoverwaltungsfonds beziehen sich auf Bildungsgebühren wie Studiengebühren über der High School, Unterbringungskosten, die auf das Finanzkonto für die spezielle Verwaltung gezahlt werden, und Ausbildungsgebühren, die von Hochschulen und Universitäten in Auftrag gegeben werden, Briefe, Fernsehuniversitäten, Abenduniversitäten und Kursgebühren.</w:t>
      </w:r>
    </w:p>
    <w:p>
      <w:pPr>
        <w:kinsoku w:val="0"/>
        <w:overflowPunct w:val="0"/>
        <w:autoSpaceDE w:val="0"/>
        <w:autoSpaceDN w:val="0"/>
        <w:adjustRightInd w:val="0"/>
        <w:snapToGrid w:val="0"/>
        <w:spacing w:line="360" w:lineRule="auto"/>
        <w:ind w:firstLine="640" w:firstLineChars="200"/>
        <w:rPr>
          <w:rFonts w:ascii="仿宋_GB2312" w:hAnsi="宋体" w:eastAsia="仿宋_GB2312" w:cs="Courier New"/>
          <w:sz w:val="32"/>
          <w:szCs w:val="32"/>
        </w:rPr>
      </w:pPr>
      <w:r>
        <w:rPr>
          <w:rFonts w:hint="eastAsia" w:ascii="仿宋_GB2312" w:hAnsi="宋体" w:eastAsia="仿宋_GB2312" w:cs="Courier New"/>
          <w:sz w:val="32"/>
          <w:szCs w:val="32"/>
        </w:rPr>
        <w:t>Die Einnahmen der drei Unternehmen beziehen sich auf die Einnahmen, die öffentliche Einrichtungen bei der Ausübung beruflicher Tätigkeiten und Hilfstätigkeiten erzielen, ohne Bildungsgebühren.</w:t>
      </w:r>
    </w:p>
    <w:p>
      <w:pPr>
        <w:kinsoku w:val="0"/>
        <w:overflowPunct w:val="0"/>
        <w:autoSpaceDE w:val="0"/>
        <w:autoSpaceDN w:val="0"/>
        <w:adjustRightInd w:val="0"/>
        <w:snapToGrid w:val="0"/>
        <w:spacing w:line="360" w:lineRule="auto"/>
        <w:rPr>
          <w:rFonts w:hint="eastAsia" w:ascii="仿宋_GB2312" w:hAnsi="宋体" w:eastAsia="仿宋_GB2312" w:cs="Courier New"/>
          <w:sz w:val="32"/>
          <w:szCs w:val="32"/>
        </w:rPr>
      </w:pPr>
      <w:r>
        <w:rPr>
          <w:rFonts w:hint="eastAsia" w:ascii="仿宋_GB2312" w:hAnsi="宋体" w:eastAsia="仿宋_GB2312" w:cs="Courier New"/>
          <w:sz w:val="32"/>
          <w:szCs w:val="32"/>
        </w:rPr>
        <w:t>etriebsergebnis öffentlicher Einrichtungen bezieht sich auf das Einkffentliche Einrichtungen ausDurchunabhängiger Rechnungslegungsgeschäfte außerhalb ihrer professionellen Geschäftstätigkeiten und ihrer Nebentätigkeiten erzielen</w:t>
      </w:r>
    </w:p>
    <w:p>
      <w:pPr>
        <w:kinsoku w:val="0"/>
        <w:overflowPunct w:val="0"/>
        <w:autoSpaceDE w:val="0"/>
        <w:autoSpaceDN w:val="0"/>
        <w:adjustRightInd w:val="0"/>
        <w:snapToGrid w:val="0"/>
        <w:spacing w:line="360" w:lineRule="auto"/>
        <w:ind w:firstLine="640" w:firstLineChars="200"/>
        <w:rPr>
          <w:rFonts w:ascii="仿宋_GB2312" w:hAnsi="宋体" w:eastAsia="仿宋_GB2312" w:cs="Courier New"/>
          <w:sz w:val="32"/>
          <w:szCs w:val="32"/>
        </w:rPr>
      </w:pPr>
      <w:r>
        <w:rPr>
          <w:rFonts w:hint="eastAsia" w:ascii="仿宋_GB2312" w:hAnsi="宋体" w:eastAsia="仿宋_GB2312" w:cs="Courier New"/>
          <w:sz w:val="32"/>
          <w:szCs w:val="32"/>
        </w:rPr>
        <w:t xml:space="preserve">Fünf Sonstige Einnahmen beziehen sich auf andere Einnahmen als die von der Einheit erzielten Einnahmen aus den Finanzmitteln der Unternehmen und den Betriebserträgen der Institutionen usw. </w:t>
      </w:r>
    </w:p>
    <w:p>
      <w:pPr>
        <w:kinsoku w:val="0"/>
        <w:overflowPunct w:val="0"/>
        <w:autoSpaceDE w:val="0"/>
        <w:autoSpaceDN w:val="0"/>
        <w:adjustRightInd w:val="0"/>
        <w:snapToGrid w:val="0"/>
        <w:spacing w:line="360" w:lineRule="auto"/>
        <w:ind w:firstLine="640" w:firstLineChars="200"/>
        <w:rPr>
          <w:rFonts w:ascii="仿宋_GB2312" w:hAnsi="宋体" w:eastAsia="仿宋_GB2312" w:cs="Courier New"/>
          <w:sz w:val="32"/>
          <w:szCs w:val="32"/>
        </w:rPr>
      </w:pPr>
      <w:r>
        <w:rPr>
          <w:rFonts w:hint="eastAsia" w:ascii="仿宋_GB2312" w:hAnsi="宋体" w:eastAsia="仿宋_GB2312" w:cs="Courier New"/>
          <w:sz w:val="32"/>
          <w:szCs w:val="32"/>
        </w:rPr>
        <w:t>Sechs Unternehmen verwenden, um die Differenz zwischen Einnahmen und Ausgaben auszugleichen Bezieht sich auf ddie Einnahmen aus den Mittelzuweisungen des laufenden Jahres, die Einnahmen aus dem Betriebsergebnis und die sonstigen Einnahmen des laufenden Jahres nicht ausreichen, um die Ausgaben des laufenden Jahres zu finanzieren. Verwenden Sie die in den Vorjahren angesammelten Betriebsmittel, dh die Einnahmen und Ausgaben der Institutionen in den Vorjahren, umferenz zwischen den Einnahmen und Ausgaben der folgenden Jahre gemäß den staatlichen Vorschriften auszugleichen, um die Lücke zwischen den Einnahmen und Ausgaben des laufenden Jahres auszugleichen.</w:t>
      </w:r>
    </w:p>
    <w:p>
      <w:pPr>
        <w:kinsoku w:val="0"/>
        <w:overflowPunct w:val="0"/>
        <w:autoSpaceDE w:val="0"/>
        <w:autoSpaceDN w:val="0"/>
        <w:adjustRightInd w:val="0"/>
        <w:snapToGrid w:val="0"/>
        <w:spacing w:line="360" w:lineRule="auto"/>
        <w:ind w:firstLine="640" w:firstLineChars="200"/>
        <w:rPr>
          <w:rFonts w:ascii="仿宋_GB2312" w:hAnsi="宋体" w:eastAsia="仿宋_GB2312" w:cs="Courier New"/>
          <w:sz w:val="32"/>
          <w:szCs w:val="32"/>
        </w:rPr>
      </w:pPr>
      <w:r>
        <w:rPr>
          <w:rFonts w:hint="eastAsia" w:ascii="仿宋_GB2312" w:hAnsi="宋体" w:eastAsia="仿宋_GB2312" w:cs="Courier New"/>
          <w:sz w:val="32"/>
          <w:szCs w:val="32"/>
        </w:rPr>
        <w:t>Sieben Grundausgaben beziehen sich auf die Ausgaben, die erforderlich sind, um den normalen Betrieb der Organierfüllen. Der Inhalt umfasst zwei Teile: Personalkosten und tägliche öffentliche Ausgaben.</w:t>
      </w:r>
    </w:p>
    <w:p>
      <w:pPr>
        <w:kinsoku w:val="0"/>
        <w:overflowPunct w:val="0"/>
        <w:autoSpaceDE w:val="0"/>
        <w:autoSpaceDN w:val="0"/>
        <w:adjustRightInd w:val="0"/>
        <w:snapToGrid w:val="0"/>
        <w:spacing w:line="360" w:lineRule="auto"/>
        <w:ind w:firstLine="640" w:firstLineChars="200"/>
        <w:rPr>
          <w:rFonts w:hint="eastAsia" w:ascii="仿宋_GB2312" w:hAnsi="宋体" w:eastAsia="仿宋_GB2312" w:cs="Courier New"/>
          <w:sz w:val="32"/>
          <w:szCs w:val="32"/>
        </w:rPr>
      </w:pPr>
      <w:r>
        <w:rPr>
          <w:rFonts w:hint="eastAsia" w:ascii="仿宋_GB2312" w:hAnsi="宋体" w:eastAsia="仿宋_GB2312" w:cs="Courier New"/>
          <w:sz w:val="32"/>
          <w:szCs w:val="32"/>
        </w:rPr>
        <w:t>Acht Projektausgaben beziehen sich auf Ausgaben, die zusätzlich zu den Grundausgaben anfallen, um bestimmteltungsaufgabenr Karriereentwicklungsziele zu erfüllenDie öffentlichen Mittel von 1993 beziehen sich auf die Kosten für den Kauf und Betrieb von Dienstfahrzeugen und die Kosten für den Empfang von Dienstfahrzeugen, die in den von der Haushaltsverwaltungseinheit der Provinz verwendeten Finanzmitteln enthalten sind. Unter ihnen spiegeln die Kosten für Auslandsreisen die Kosten für Unterkunft, Reisekosten, Verpflegung, sonstige Kosten, Schulungen und andere Ausgaben für offizielle Auslandsreisen der Einheit wider. Die Anschaffungs- und Betriebskosten für Dienstfah Versicherungskosten, Sicherheitsanreize und andere Ausgaben Die offiziellen Empfangsgebühren spiegeln alle Arten von offiziellen Empfangskosten wider, einschließlich der Ausgaben für ausländische Gäste, die von der Einheit gemäß den Vorschriften ausgegeben werden</w:t>
      </w:r>
    </w:p>
    <w:p>
      <w:pPr>
        <w:kinsoku w:val="0"/>
        <w:overflowPunct w:val="0"/>
        <w:autoSpaceDE w:val="0"/>
        <w:autoSpaceDN w:val="0"/>
        <w:adjustRightInd w:val="0"/>
        <w:snapToGrid w:val="0"/>
        <w:spacing w:line="360" w:lineRule="auto"/>
        <w:ind w:firstLine="640" w:firstLineChars="200"/>
        <w:rPr>
          <w:rFonts w:hint="eastAsia" w:ascii="仿宋_GB2312" w:hAnsi="宋体" w:eastAsia="仿宋_GB2312" w:cs="Courier New"/>
          <w:sz w:val="32"/>
          <w:szCs w:val="32"/>
        </w:rPr>
      </w:pPr>
      <w:r>
        <w:rPr>
          <w:rFonts w:hint="eastAsia" w:ascii="仿宋_GB2312" w:hAnsi="宋体" w:eastAsia="仿宋_GB2312" w:cs="Courier New"/>
          <w:sz w:val="32"/>
          <w:szCs w:val="32"/>
        </w:rPr>
        <w:t>Zehn Betriebsmittel von Verwaltungseinheiten Bezieht sich auf verschiedene Fonds, die für den Kauf von Waren und Dienstleistungen zum Schutz von Einheiten, einschließlich Verwaltungseinheiten und Institutionen, verwendet werden Einschließlich Büro- und Druckkosten, Post- und Telekommunikationskosten, Reisekosten, Konferenzkosten, Sozialkosten, tägliche Wartungskosten und Anschaffungskosten für allgemeine Ausrüstung, Bürogebäude, Nebenkosten, Heizkosten, Bürogebäude, Immobilienverwaltungskosten, Betriebs- und Wartungskosten für Dienstfahrzeuge und andere Kosten</w:t>
      </w:r>
    </w:p>
    <w:p>
      <w:pPr>
        <w:adjustRightInd w:val="0"/>
        <w:snapToGrid w:val="0"/>
        <w:spacing w:line="360" w:lineRule="auto"/>
        <w:rPr>
          <w:rFonts w:hint="eastAsia" w:ascii="黑体" w:hAnsi="黑体" w:eastAsia="黑体"/>
          <w:sz w:val="32"/>
          <w:szCs w:val="32"/>
        </w:rPr>
      </w:pPr>
    </w:p>
    <w:p>
      <w:pPr>
        <w:adjustRightInd w:val="0"/>
        <w:snapToGrid w:val="0"/>
        <w:spacing w:line="360" w:lineRule="auto"/>
        <w:ind w:firstLine="632" w:firstLineChars="200"/>
        <w:rPr>
          <w:rFonts w:ascii="黑体" w:hAnsi="黑体" w:eastAsia="黑体"/>
          <w:sz w:val="32"/>
          <w:szCs w:val="32"/>
        </w:rPr>
      </w:pPr>
      <w:r>
        <w:rPr>
          <w:rFonts w:hint="eastAsia" w:ascii="仿宋" w:hAnsi="仿宋" w:eastAsia="仿宋" w:cs="仿宋"/>
          <w:color w:val="000000"/>
          <w:spacing w:val="8"/>
          <w:kern w:val="0"/>
          <w:sz w:val="30"/>
          <w:szCs w:val="30"/>
          <w:shd w:val="clear" w:color="auto" w:fill="FFFFFF"/>
          <w:lang w:val="en-US" w:eastAsia="zh-CN" w:bidi="ar-SA"/>
        </w:rPr>
        <w:t>Aufbaus von Krankenhausinformationen, transformiert die Geschäftsstrategie, verbessert das Servicemodell und erreicht schließlich eine zufriedenere Patientenzufriedenheit Zum 31. Dezember 2022 betrug der durchschnittliche Personalbestand des Krankenhauses 1720 Angestellte 515 Nichtangestellte 1205 Gründe für die Entwicklung und Einrichtung des Krankenhauses Rentner 249 Personen 3.000 Betten in Krankenhäusern zum 31. Dezember</w:t>
      </w:r>
      <w:r>
        <w:rPr>
          <w:rFonts w:hint="eastAsia" w:ascii="黑体" w:hAnsi="黑体" w:eastAsia="黑体"/>
          <w:sz w:val="32"/>
          <w:szCs w:val="32"/>
          <w:lang w:eastAsia="zh-CN"/>
        </w:rPr>
        <w:t>r zweiten Henan-Universität</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632" w:firstLineChars="20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Haushaltseinheit Eine Einheit auf Unternehmensebene</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632" w:firstLineChars="20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Parteisekretär Zhang Qiumei</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632" w:firstLineChars="20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Dean Zhang Shuanglin</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632" w:firstLineChars="20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Stellvertretender Sekretär des Parteikomitees Sekretär der Disziplinarkommission Stellvertretender Präsident des Hauptbuchhalters Vorsitzender der</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632" w:firstLineChars="20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 xml:space="preserve">Interne institutionelle Einrichtung </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0" w:firstLineChars="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14 Abteilungen für Partei- und Regierungsverwaltung</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0" w:firstLineChars="0"/>
        <w:jc w:val="left"/>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3 Gruppenagenturen der Zweiten Kommission für Disziplinarkontrolle</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0" w:firstLineChars="0"/>
        <w:jc w:val="left"/>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20 Abteilungen in drei Geschäftsbereichen</w:t>
      </w:r>
    </w:p>
    <w:p>
      <w:pPr>
        <w:keepNext w:val="0"/>
        <w:keepLines w:val="0"/>
        <w:pageBreakBefore w:val="0"/>
        <w:widowControl/>
        <w:suppressLineNumbers w:val="0"/>
        <w:kinsoku/>
        <w:wordWrap/>
        <w:overflowPunct/>
        <w:topLinePunct w:val="0"/>
        <w:autoSpaceDE/>
        <w:autoSpaceDN/>
        <w:bidi w:val="0"/>
        <w:adjustRightInd/>
        <w:snapToGrid/>
        <w:spacing w:line="700" w:lineRule="exact"/>
        <w:ind w:firstLine="0" w:firstLineChars="0"/>
        <w:jc w:val="left"/>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51 in vier Geschäftsbereichen</w:t>
      </w:r>
    </w:p>
    <w:p>
      <w:pPr>
        <w:adjustRightInd w:val="0"/>
        <w:snapToGrid w:val="0"/>
        <w:spacing w:line="360" w:lineRule="auto"/>
        <w:jc w:val="both"/>
        <w:rPr>
          <w:rFonts w:ascii="黑体" w:hAnsi="黑体" w:eastAsia="黑体"/>
          <w:sz w:val="32"/>
          <w:szCs w:val="32"/>
        </w:rPr>
      </w:pPr>
      <w:r>
        <w:rPr>
          <w:rFonts w:hint="eastAsia" w:ascii="黑体" w:hAnsi="黑体" w:eastAsia="黑体"/>
          <w:sz w:val="32"/>
          <w:szCs w:val="32"/>
          <w:lang w:eastAsia="zh-CN"/>
        </w:rPr>
        <w:t>Beschreibung des Budgets 2023 des Ersten angegliederten Krankenhauses der Henan-Universität</w:t>
      </w:r>
    </w:p>
    <w:p>
      <w:pPr>
        <w:adjustRightInd w:val="0"/>
        <w:snapToGrid w:val="0"/>
        <w:spacing w:line="360" w:lineRule="auto"/>
        <w:ind w:firstLine="640" w:firstLineChars="200"/>
        <w:rPr>
          <w:rFonts w:ascii="黑体" w:hAnsi="黑体" w:eastAsia="黑体"/>
          <w:sz w:val="32"/>
          <w:szCs w:val="32"/>
        </w:rPr>
      </w:pPr>
    </w:p>
    <w:p>
      <w:pPr>
        <w:adjustRightInd w:val="0"/>
        <w:snapToGrid w:val="0"/>
        <w:spacing w:line="560" w:lineRule="exact"/>
        <w:ind w:firstLine="640" w:firstLineChars="200"/>
        <w:contextualSpacing/>
        <w:rPr>
          <w:rFonts w:ascii="黑体" w:hAnsi="黑体" w:eastAsia="黑体"/>
          <w:sz w:val="32"/>
          <w:szCs w:val="32"/>
        </w:rPr>
      </w:pPr>
      <w:r>
        <w:rPr>
          <w:rFonts w:hint="eastAsia" w:ascii="黑体" w:hAnsi="黑体" w:eastAsia="黑体"/>
          <w:sz w:val="32"/>
          <w:szCs w:val="32"/>
        </w:rPr>
        <w:t>Eine allgemeine Beschreibung des Einnahmen- und Ausgabenbudgets</w:t>
      </w:r>
    </w:p>
    <w:p>
      <w:pPr>
        <w:spacing w:line="560" w:lineRule="exact"/>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Die Einnahmen des ersten angegliederten Krankenhauses der Henan-Universität beliefen sich im Jahr 2023 auf 80,1379 Millionen Yuan, die Ausgaben auf 80,1379 Millionen Yuan und die Einnahmen auf 56,982 Millionen Yuan. Die Hauptgründe für die Auswirkungen der Epidemie sind die Verringerung des Neugeschäfts, die Entwicklung neuer Technologien und die kontinuierliche Verbesserung der medizinischen Qualität und der Servicefähigkeiten von Krankenhäusern. Die Ausgaben stiegen um 56,982 Millionen Yuan und stiegen um 7,65%. Dies war hauptsächlich auf den Anstieg der Investitionen in die Ausbildung des Personals für den Bau von Ausrüstungen, den Kauf von Einrichtungen und die Umgestaltung von Krankenhäusern, regionalen regionalen medizinischen Zentren und anderen Investitionen zurückzuführen.</w:t>
      </w:r>
    </w:p>
    <w:p>
      <w:pPr>
        <w:spacing w:line="560" w:lineRule="exact"/>
        <w:ind w:firstLine="640" w:firstLineChars="200"/>
        <w:rPr>
          <w:rFonts w:ascii="黑体" w:hAnsi="黑体" w:eastAsia="黑体"/>
          <w:sz w:val="32"/>
          <w:szCs w:val="32"/>
        </w:rPr>
      </w:pPr>
      <w:r>
        <w:rPr>
          <w:rFonts w:hint="eastAsia" w:ascii="黑体" w:hAnsi="黑体" w:eastAsia="黑体"/>
          <w:sz w:val="32"/>
          <w:szCs w:val="32"/>
        </w:rPr>
        <w:t>Allgemeiner Überblick über das zweite Einnahmenbudget</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lang w:eastAsia="zh-CN"/>
        </w:rPr>
        <w:t>Das Gesamteinkommen des ersten angegliederten Krankenhauses der Henan-Universität im Jahr 2023 betrug 80,379 Millionen Yuan, davon 5 Millionen Yuan im allgemeinen öffentlichen Haushalt; Geschäftseinkommen 764,379 Millionen Yuan Sonstige Einnahmen 32 Millionen</w:t>
      </w:r>
    </w:p>
    <w:p>
      <w:pPr>
        <w:spacing w:line="560" w:lineRule="exact"/>
        <w:ind w:firstLine="640" w:firstLineChars="200"/>
        <w:rPr>
          <w:rFonts w:hint="eastAsia" w:ascii="仿宋_GB2312" w:eastAsia="仿宋_GB2312"/>
          <w:sz w:val="32"/>
          <w:szCs w:val="32"/>
        </w:rPr>
      </w:pPr>
      <w:r>
        <w:rPr>
          <w:rFonts w:hint="eastAsia" w:ascii="黑体" w:hAnsi="黑体" w:eastAsia="黑体"/>
          <w:sz w:val="32"/>
          <w:szCs w:val="32"/>
        </w:rPr>
        <w:t>Allgemeine Beschreibung der drei Ausgabenbudgets</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lang w:eastAsia="zh-CN"/>
        </w:rPr>
        <w:t>Die Gesamtausgaben des ersten angegliederten Krankenhauses der Henan-Universität im Jahr 2023 beliefen sich auf 80,1379 Millionen Yuan, wovon 16,811 Millionen Yuan Sozial- und Sicherheitsausgaben 2,1% ausmachte7,7</w:t>
      </w:r>
      <w:r>
        <w:rPr>
          <w:rFonts w:hint="eastAsia" w:ascii="仿宋_GB2312" w:hAnsi="宋体" w:eastAsia="仿宋_GB2312" w:cs="Courier New"/>
          <w:sz w:val="32"/>
          <w:szCs w:val="32"/>
          <w:lang w:val="en-US" w:eastAsia="zh-CN"/>
        </w:rPr>
        <w:t xml:space="preserve">Ausgaben für Wohnraumsicherheit 1,1 Millionen Yuan Anteil </w:t>
      </w:r>
      <w:r>
        <w:rPr>
          <w:rFonts w:hint="eastAsia" w:ascii="黑体" w:hAnsi="黑体" w:eastAsia="黑体"/>
          <w:sz w:val="32"/>
          <w:szCs w:val="32"/>
        </w:rPr>
        <w:t>nen über die Einnahmen und Ausgaben der vier Finanzmittel</w:t>
      </w:r>
    </w:p>
    <w:p>
      <w:pPr>
        <w:spacing w:line="560" w:lineRule="exact"/>
        <w:ind w:firstLine="640" w:firstLineChars="200"/>
        <w:rPr>
          <w:rFonts w:hint="eastAsia" w:ascii="仿宋_GB2312" w:hAnsi="宋体" w:eastAsia="仿宋_GB2312" w:cs="Courier New"/>
          <w:sz w:val="32"/>
          <w:szCs w:val="32"/>
        </w:rPr>
      </w:pPr>
      <w:r>
        <w:rPr>
          <w:rFonts w:hint="eastAsia" w:ascii="仿宋_GB2312" w:eastAsia="仿宋_GB2312"/>
          <w:sz w:val="32"/>
          <w:szCs w:val="32"/>
          <w:lang w:eastAsia="zh-CN"/>
        </w:rPr>
        <w:t>Das erste angegliederte Krankenhaus der Henan-Universität hat 2023 ein allgemeines öffentliches Haushaltsbudget von 5 Millionen Yuan</w:t>
      </w:r>
    </w:p>
    <w:p>
      <w:pPr>
        <w:spacing w:line="560" w:lineRule="exact"/>
        <w:ind w:firstLine="640" w:firstLineChars="200"/>
        <w:rPr>
          <w:rFonts w:hint="eastAsia" w:ascii="仿宋_GB2312" w:eastAsia="仿宋_GB2312"/>
          <w:sz w:val="32"/>
          <w:szCs w:val="32"/>
        </w:rPr>
      </w:pPr>
      <w:r>
        <w:rPr>
          <w:rFonts w:hint="eastAsia" w:ascii="黑体" w:hAnsi="黑体" w:eastAsia="黑体"/>
          <w:sz w:val="32"/>
          <w:szCs w:val="32"/>
        </w:rPr>
        <w:t>5 Erläuterungen zu den Ausgaben des allgemeinen öffentlichen Haushalts</w:t>
      </w:r>
    </w:p>
    <w:p>
      <w:pPr>
        <w:spacing w:line="560" w:lineRule="exact"/>
        <w:ind w:firstLine="640" w:firstLineChars="200"/>
        <w:rPr>
          <w:rFonts w:hint="eastAsia" w:ascii="仿宋_GB2312" w:eastAsia="仿宋_GB2312"/>
          <w:sz w:val="32"/>
          <w:szCs w:val="32"/>
        </w:rPr>
      </w:pPr>
      <w:r>
        <w:rPr>
          <w:rFonts w:hint="eastAsia" w:ascii="仿宋_GB2312" w:hAnsi="宋体" w:eastAsia="仿宋_GB2312" w:cs="Courier New"/>
          <w:sz w:val="32"/>
          <w:szCs w:val="32"/>
        </w:rPr>
        <w:t>Die Ausgaben des ersten angegliederten Krankenhauses der Henan-Universität für den allgemeinen öffentlichen Haushalt für 2023 beliefen sich zu Beginn des Jahres auf 5 Millionen Yuan  Davon entfielen auf die Grundausgaben 10</w:t>
      </w:r>
      <w:r>
        <w:rPr>
          <w:rFonts w:hint="eastAsia" w:ascii="黑体" w:hAnsi="黑体" w:eastAsia="黑体"/>
          <w:sz w:val="32"/>
          <w:szCs w:val="32"/>
        </w:rPr>
        <w:t>Sechs Erläuterungen zu den Basisausgaben des allgemeinen öffentlichen Haushalts</w:t>
      </w:r>
    </w:p>
    <w:p>
      <w:pPr>
        <w:spacing w:line="560" w:lineRule="exact"/>
        <w:ind w:firstLine="640" w:firstLineChars="200"/>
        <w:rPr>
          <w:rFonts w:hint="eastAsia" w:ascii="仿宋_GB2312" w:eastAsia="仿宋_GB2312"/>
          <w:sz w:val="32"/>
          <w:szCs w:val="32"/>
        </w:rPr>
      </w:pPr>
      <w:r>
        <w:rPr>
          <w:rFonts w:hint="eastAsia" w:ascii="仿宋_GB2312" w:hAnsi="宋体" w:eastAsia="仿宋_GB2312" w:cs="Courier New"/>
          <w:sz w:val="32"/>
          <w:szCs w:val="32"/>
        </w:rPr>
        <w:t>Das erste angegliederte Krankenhaus der Henan-Universität h Haushalt zu Beginn des Jahres auf 107.000 Yuan veranschlagt Davon entfielen an auf Personalausgaben, die 100% ausmachten</w:t>
      </w:r>
    </w:p>
    <w:p>
      <w:pPr>
        <w:spacing w:line="560" w:lineRule="exact"/>
        <w:ind w:firstLine="640" w:firstLineChars="200"/>
        <w:rPr>
          <w:rFonts w:hint="eastAsia" w:ascii="仿宋_GB2312" w:eastAsia="仿宋_GB2312"/>
          <w:sz w:val="32"/>
          <w:szCs w:val="32"/>
        </w:rPr>
      </w:pPr>
      <w:r>
        <w:rPr>
          <w:rFonts w:hint="eastAsia" w:ascii="黑体" w:hAnsi="Times New Roman" w:eastAsia="黑体" w:cs="黑体"/>
          <w:kern w:val="0"/>
          <w:sz w:val="32"/>
          <w:szCs w:val="32"/>
        </w:rPr>
        <w:t>Erläuterung der öffentlichen Ausgaben</w:t>
      </w:r>
    </w:p>
    <w:p>
      <w:pPr>
        <w:spacing w:line="560" w:lineRule="exact"/>
        <w:ind w:firstLine="640" w:firstLineChars="200"/>
        <w:rPr>
          <w:rFonts w:hint="eastAsia" w:ascii="仿宋_GB2312" w:eastAsia="仿宋_GB2312"/>
          <w:sz w:val="32"/>
          <w:szCs w:val="32"/>
        </w:rPr>
      </w:pPr>
      <w:r>
        <w:rPr>
          <w:rFonts w:hint="eastAsia" w:ascii="仿宋_GB2312" w:hAnsi="宋体" w:eastAsia="仿宋_GB2312" w:cs="Courier New"/>
          <w:sz w:val="32"/>
          <w:szCs w:val="32"/>
        </w:rPr>
        <w:t>Das Budget unserer Einheit für die drei öffentlichen Mittel im Jahr 2023 beträgt 1 Million YuanDas Budget der drei öffentliche</w:t>
      </w:r>
    </w:p>
    <w:p>
      <w:pPr>
        <w:kinsoku w:val="0"/>
        <w:overflowPunct w:val="0"/>
        <w:autoSpaceDE w:val="0"/>
        <w:autoSpaceDN w:val="0"/>
        <w:adjustRightInd w:val="0"/>
        <w:snapToGrid w:val="0"/>
        <w:spacing w:line="360" w:lineRule="auto"/>
        <w:ind w:firstLine="640" w:firstLineChars="200"/>
        <w:rPr>
          <w:rFonts w:hint="eastAsia" w:ascii="仿宋_GB2312" w:hAnsi="宋体" w:eastAsia="仿宋_GB2312" w:cs="Courier New"/>
          <w:sz w:val="32"/>
          <w:szCs w:val="32"/>
        </w:rPr>
      </w:pPr>
      <w:r>
        <w:rPr>
          <w:rFonts w:hint="eastAsia" w:ascii="仿宋_GB2312" w:hAnsi="宋体" w:eastAsia="仿宋_GB2312" w:cs="Courier New"/>
          <w:sz w:val="32"/>
          <w:szCs w:val="32"/>
        </w:rPr>
        <w:t>Die spezifischen Ausgaben sind wie folgt</w:t>
      </w:r>
    </w:p>
    <w:p>
      <w:pPr>
        <w:kinsoku w:val="0"/>
        <w:overflowPunct w:val="0"/>
        <w:autoSpaceDE w:val="0"/>
        <w:autoSpaceDN w:val="0"/>
        <w:adjustRightInd w:val="0"/>
        <w:snapToGrid w:val="0"/>
        <w:spacing w:line="360" w:lineRule="auto"/>
        <w:ind w:firstLine="640" w:firstLineChars="200"/>
        <w:rPr>
          <w:rFonts w:hint="default" w:ascii="仿宋_GB2312" w:hAnsi="宋体" w:eastAsia="仿宋_GB2312" w:cs="Courier New"/>
          <w:sz w:val="32"/>
          <w:szCs w:val="32"/>
          <w:lang w:val="en-US" w:eastAsia="zh-CN"/>
        </w:rPr>
      </w:pPr>
      <w:r>
        <w:rPr>
          <w:rFonts w:hint="eastAsia" w:ascii="仿宋_GB2312" w:hAnsi="宋体" w:eastAsia="仿宋_GB2312" w:cs="Courier New"/>
          <w:sz w:val="32"/>
          <w:szCs w:val="32"/>
          <w:lang w:val="en-US" w:eastAsia="zh-CN"/>
        </w:rPr>
        <w:t>Offizielle Empfangsgebühr von n Betriebs- und Wartungskosten für Dienstfahrzeugean</w:t>
      </w:r>
    </w:p>
    <w:p>
      <w:pPr>
        <w:numPr>
          <w:ilvl w:val="0"/>
          <w:numId w:val="1"/>
        </w:numPr>
        <w:kinsoku w:val="0"/>
        <w:overflowPunct w:val="0"/>
        <w:autoSpaceDE w:val="0"/>
        <w:autoSpaceDN w:val="0"/>
        <w:adjustRightInd w:val="0"/>
        <w:snapToGrid w:val="0"/>
        <w:spacing w:line="360" w:lineRule="auto"/>
        <w:ind w:firstLine="640" w:firstLineChars="200"/>
        <w:rPr>
          <w:rFonts w:hint="eastAsia" w:ascii="仿宋_GB2312" w:hAnsi="宋体" w:eastAsia="仿宋_GB2312" w:cs="Courier New"/>
          <w:sz w:val="32"/>
          <w:szCs w:val="32"/>
        </w:rPr>
      </w:pPr>
      <w:r>
        <w:rPr>
          <w:rFonts w:hint="eastAsia" w:ascii="仿宋_GB2312" w:hAnsi="宋体" w:eastAsia="仿宋_GB2312" w:cs="Courier New"/>
          <w:sz w:val="32"/>
          <w:szCs w:val="32"/>
        </w:rPr>
        <w:t>Die Kosten für Auslandsreisen in Höhe von 100.000 Yuan werden hauptsächlich für Unterbringung, Reisen, Verpflegung, sonstige Ausgaben, Schulungen und andere Ausgaben für Mitarbeiter der Einheit verwendet, die ins Ausland reisen</w:t>
      </w:r>
    </w:p>
    <w:p>
      <w:pPr>
        <w:numPr>
          <w:ilvl w:val="0"/>
          <w:numId w:val="1"/>
        </w:numPr>
        <w:kinsoku w:val="0"/>
        <w:overflowPunct w:val="0"/>
        <w:autoSpaceDE w:val="0"/>
        <w:autoSpaceDN w:val="0"/>
        <w:adjustRightInd w:val="0"/>
        <w:snapToGrid w:val="0"/>
        <w:spacing w:line="360" w:lineRule="auto"/>
        <w:ind w:left="0" w:leftChars="0" w:firstLine="640" w:firstLineChars="200"/>
        <w:rPr>
          <w:rFonts w:hint="eastAsia" w:ascii="仿宋_GB2312" w:hAnsi="宋体" w:eastAsia="仿宋_GB2312" w:cs="Courier New"/>
          <w:sz w:val="32"/>
          <w:szCs w:val="32"/>
        </w:rPr>
      </w:pPr>
      <w:r>
        <w:rPr>
          <w:rFonts w:hint="eastAsia" w:ascii="仿宋_GB2312" w:hAnsi="宋体" w:eastAsia="仿宋_GB2312" w:cs="Courier New"/>
          <w:sz w:val="32"/>
          <w:szCs w:val="32"/>
        </w:rPr>
        <w:t>Die offizielle Empfangsgebühr von 520.000 Yuan wird hauptsächlich für verschiedene Arten von offiziellen Empfängen verwendet, einschließlich der Ausgaben für ausländische Gäste, die gemäß den Vorschriften ausgegeben werden</w:t>
      </w:r>
    </w:p>
    <w:p>
      <w:pPr>
        <w:numPr>
          <w:ilvl w:val="0"/>
          <w:numId w:val="0"/>
        </w:numPr>
        <w:kinsoku w:val="0"/>
        <w:overflowPunct w:val="0"/>
        <w:autoSpaceDE w:val="0"/>
        <w:autoSpaceDN w:val="0"/>
        <w:adjustRightInd w:val="0"/>
        <w:snapToGrid w:val="0"/>
        <w:spacing w:line="360" w:lineRule="auto"/>
        <w:ind w:leftChars="200" w:firstLine="320" w:firstLineChars="100"/>
        <w:rPr>
          <w:rFonts w:hint="eastAsia" w:ascii="仿宋_GB2312" w:hAnsi="宋体" w:eastAsia="仿宋_GB2312" w:cs="Courier New"/>
          <w:sz w:val="32"/>
          <w:szCs w:val="32"/>
        </w:rPr>
      </w:pPr>
      <w:r>
        <w:rPr>
          <w:rFonts w:hint="eastAsia" w:ascii="仿宋_GB2312" w:hAnsi="宋体" w:eastAsia="仿宋_GB2312" w:cs="Courier New"/>
          <w:sz w:val="32"/>
          <w:szCs w:val="32"/>
        </w:rPr>
        <w:t>Drei Anschaffungs- und Betriebskosten für Dienstfahrzeugan, wovon die Anschaffungskosten für Dienstfahrzeugean betragen Die Betriebs- und Wartungskosten von Dienstfahrzeugen in Höhe von 480.000 Yuan werden hauptsächlich für die Kraftstoffkosten von Dienstfahrzeugen verwendet, die für die Arbeit erforderlich sind, Wartungskosten für Überfahrten, Überbrückungsgebühren, Versicherungskosten, Sicherheitsanreize und andere Ausgaben</w:t>
      </w:r>
    </w:p>
    <w:p>
      <w:pPr>
        <w:spacing w:line="560" w:lineRule="exact"/>
        <w:ind w:firstLine="640" w:firstLineChars="200"/>
        <w:rPr>
          <w:rFonts w:hint="eastAsia" w:ascii="仿宋_GB2312" w:eastAsia="仿宋_GB2312"/>
          <w:sz w:val="32"/>
          <w:szCs w:val="32"/>
        </w:rPr>
      </w:pPr>
      <w:r>
        <w:rPr>
          <w:rFonts w:hint="eastAsia" w:ascii="黑体" w:hAnsi="Times New Roman" w:eastAsia="黑体" w:cs="黑体"/>
          <w:kern w:val="0"/>
          <w:sz w:val="32"/>
          <w:szCs w:val="32"/>
        </w:rPr>
        <w:t>Acht Beschreibung der Haushaltsausgaben des Staatsfonds</w:t>
      </w:r>
    </w:p>
    <w:p>
      <w:pPr>
        <w:spacing w:line="560" w:lineRule="exact"/>
        <w:ind w:firstLine="640" w:firstLineChars="200"/>
        <w:rPr>
          <w:rFonts w:hint="eastAsia" w:ascii="仿宋_GB2312" w:eastAsia="仿宋_GB2312"/>
          <w:sz w:val="32"/>
          <w:szCs w:val="32"/>
        </w:rPr>
      </w:pPr>
      <w:r>
        <w:rPr>
          <w:rFonts w:hint="eastAsia" w:ascii="仿宋_GB2312" w:hAnsi="宋体" w:eastAsia="仿宋_GB2312" w:cs="Courier New"/>
          <w:sz w:val="32"/>
          <w:szCs w:val="32"/>
        </w:rPr>
        <w:t>Die Haushaltsausgaben unserer Einheit für den Regierungsfonds im Jahr 2023 betragen zu Beginn des Jahres an Die spezifischen Ausgabenbedingungen lauten wie folgt: Unsere Abteilung hae staatlichen Mittelzuweisungsvereinbarungen verwendet</w:t>
      </w:r>
    </w:p>
    <w:p>
      <w:pPr>
        <w:kinsoku w:val="0"/>
        <w:overflowPunct w:val="0"/>
        <w:autoSpaceDE w:val="0"/>
        <w:autoSpaceDN w:val="0"/>
        <w:adjustRightInd w:val="0"/>
        <w:snapToGrid w:val="0"/>
        <w:spacing w:line="360" w:lineRule="auto"/>
        <w:ind w:firstLine="640" w:firstLineChars="200"/>
        <w:rPr>
          <w:rFonts w:hint="eastAsia" w:ascii="仿宋_GB2312" w:hAnsi="宋体" w:eastAsia="仿宋_GB2312" w:cs="Courier New"/>
          <w:sz w:val="32"/>
          <w:szCs w:val="32"/>
        </w:rPr>
      </w:pPr>
      <w:r>
        <w:rPr>
          <w:rFonts w:hint="eastAsia" w:ascii="黑体" w:hAnsi="Times New Roman" w:eastAsia="黑体" w:cs="黑体"/>
          <w:kern w:val="0"/>
          <w:sz w:val="32"/>
          <w:szCs w:val="32"/>
        </w:rPr>
        <w:t>Neun andere wichtige Angelegenheiten Merkblatt Der folgende Betrag ist 0 und es ist noch eine Merkblatt erforderlich</w:t>
      </w:r>
    </w:p>
    <w:p>
      <w:pPr>
        <w:kinsoku w:val="0"/>
        <w:overflowPunct w:val="0"/>
        <w:autoSpaceDE w:val="0"/>
        <w:autoSpaceDN w:val="0"/>
        <w:adjustRightInd w:val="0"/>
        <w:snapToGrid w:val="0"/>
        <w:spacing w:line="360" w:lineRule="auto"/>
        <w:ind w:firstLine="643" w:firstLineChars="200"/>
        <w:rPr>
          <w:rFonts w:hint="eastAsia" w:ascii="仿宋_GB2312" w:hAnsi="宋体" w:eastAsia="仿宋_GB2312" w:cs="Courier New"/>
          <w:sz w:val="32"/>
          <w:szCs w:val="32"/>
        </w:rPr>
      </w:pPr>
      <w:r>
        <w:rPr>
          <w:rFonts w:hint="eastAsia" w:ascii="仿宋_GB2312" w:hAnsi="Times New Roman" w:eastAsia="仿宋_GB2312" w:cs="仿宋_GB2312"/>
          <w:b/>
          <w:kern w:val="0"/>
          <w:sz w:val="32"/>
          <w:szCs w:val="32"/>
        </w:rPr>
        <w:t>Betriebsmittel einer Verwaltungseinheit</w:t>
      </w:r>
    </w:p>
    <w:p>
      <w:pPr>
        <w:kinsoku w:val="0"/>
        <w:overflowPunct w:val="0"/>
        <w:autoSpaceDE w:val="0"/>
        <w:autoSpaceDN w:val="0"/>
        <w:adjustRightInd w:val="0"/>
        <w:snapToGrid w:val="0"/>
        <w:spacing w:line="360" w:lineRule="auto"/>
        <w:ind w:firstLine="640" w:firstLineChars="200"/>
        <w:rPr>
          <w:rFonts w:hint="eastAsia" w:ascii="楷体_GB2312" w:hAnsi="Times New Roman" w:eastAsia="仿宋_GB2312" w:cs="仿宋_GB2312"/>
          <w:b/>
          <w:kern w:val="0"/>
          <w:sz w:val="32"/>
          <w:szCs w:val="32"/>
          <w:lang w:eastAsia="zh-CN"/>
        </w:rPr>
      </w:pPr>
      <w:r>
        <w:rPr>
          <w:rFonts w:hint="eastAsia" w:ascii="仿宋_GB2312" w:eastAsia="仿宋_GB2312"/>
          <w:sz w:val="32"/>
          <w:szCs w:val="32"/>
          <w:lang w:eastAsia="zh-CN"/>
        </w:rPr>
        <w:t>Das erste angegliederte Krankenhaus der ersität haan für den institutionellen Betrieb</w:t>
      </w:r>
      <w:r>
        <w:rPr>
          <w:rFonts w:hint="eastAsia" w:ascii="仿宋_GB2312" w:hAnsi="Times New Roman" w:eastAsia="仿宋_GB2312" w:cs="仿宋_GB2312"/>
          <w:b/>
          <w:kern w:val="0"/>
          <w:sz w:val="32"/>
          <w:szCs w:val="32"/>
        </w:rPr>
        <w:t>sgaben für das öffentliche Beschaffungswesen</w:t>
      </w:r>
      <w:r>
        <w:rPr>
          <w:rFonts w:hint="eastAsia" w:ascii="仿宋_GB2312" w:eastAsia="仿宋_GB2312"/>
          <w:sz w:val="32"/>
          <w:szCs w:val="32"/>
        </w:rPr>
        <w:t xml:space="preserve"> Budget für das öffentliche Beschaffungswesen an</w:t>
      </w:r>
    </w:p>
    <w:p>
      <w:pPr>
        <w:kinsoku w:val="0"/>
        <w:overflowPunct w:val="0"/>
        <w:autoSpaceDE w:val="0"/>
        <w:autoSpaceDN w:val="0"/>
        <w:adjustRightInd w:val="0"/>
        <w:snapToGrid w:val="0"/>
        <w:spacing w:line="360" w:lineRule="auto"/>
        <w:ind w:firstLine="643" w:firstLineChars="200"/>
        <w:rPr>
          <w:rFonts w:hint="eastAsia" w:ascii="仿宋_GB2312" w:hAnsi="宋体" w:eastAsia="仿宋_GB2312" w:cs="Courier New"/>
          <w:sz w:val="32"/>
          <w:szCs w:val="32"/>
        </w:rPr>
      </w:pPr>
      <w:r>
        <w:rPr>
          <w:rFonts w:ascii="仿宋_GB2312" w:hAnsi="Times New Roman" w:eastAsia="仿宋_GB2312" w:cs="仿宋_GB2312"/>
          <w:b/>
          <w:kern w:val="0"/>
          <w:sz w:val="32"/>
          <w:szCs w:val="32"/>
        </w:rPr>
        <w:t>tungsziele festlegen</w:t>
      </w:r>
      <w:r>
        <w:rPr>
          <w:rFonts w:ascii="仿宋_GB2312" w:hAnsi="宋体" w:eastAsia="仿宋_GB2312" w:cs="Courier New"/>
          <w:sz w:val="32"/>
          <w:szCs w:val="32"/>
        </w:rPr>
        <w:t>aushaltsposten unserer Einheit für 2023 haben die Leistungsziele gemäß den Anforderungenengestellt. Die Leistungsindikatoren spiegeln die Quantität der erwarteten Fertigstellung des Projekts, die Effektivität, die Qualität, die erwarteten sozialen und wirtschaftlichen Vorteile, die nachhaltigen Auswirkungen und die Zufriedenheit der Kunden wider.</w:t>
      </w:r>
    </w:p>
    <w:p>
      <w:pPr>
        <w:kinsoku w:val="0"/>
        <w:overflowPunct w:val="0"/>
        <w:autoSpaceDE w:val="0"/>
        <w:autoSpaceDN w:val="0"/>
        <w:adjustRightInd w:val="0"/>
        <w:snapToGrid w:val="0"/>
        <w:spacing w:line="360" w:lineRule="auto"/>
        <w:ind w:firstLine="643" w:firstLineChars="200"/>
        <w:rPr>
          <w:rFonts w:ascii="仿宋_GB2312" w:hAnsi="Times New Roman" w:eastAsia="仿宋_GB2312" w:cs="仿宋_GB2312"/>
          <w:b/>
          <w:kern w:val="0"/>
          <w:sz w:val="32"/>
          <w:szCs w:val="32"/>
        </w:rPr>
      </w:pPr>
      <w:r>
        <w:rPr>
          <w:rFonts w:hint="eastAsia" w:ascii="仿宋_GB2312" w:hAnsi="Times New Roman" w:eastAsia="仿宋_GB2312" w:cs="仿宋_GB2312"/>
          <w:b/>
          <w:kern w:val="0"/>
          <w:sz w:val="32"/>
          <w:szCs w:val="32"/>
        </w:rPr>
        <w:t>Besetzung staatlicher Vermögenswerte</w:t>
      </w:r>
    </w:p>
    <w:p>
      <w:pPr>
        <w:kinsoku w:val="0"/>
        <w:overflowPunct w:val="0"/>
        <w:autoSpaceDE w:val="0"/>
        <w:autoSpaceDN w:val="0"/>
        <w:adjustRightInd w:val="0"/>
        <w:snapToGrid w:val="0"/>
        <w:spacing w:line="360" w:lineRule="auto"/>
        <w:ind w:firstLine="640" w:firstLineChars="200"/>
        <w:rPr>
          <w:rFonts w:hint="eastAsia" w:ascii="黑体" w:hAnsi="黑体" w:eastAsia="黑体"/>
          <w:sz w:val="32"/>
          <w:szCs w:val="32"/>
        </w:rPr>
      </w:pPr>
      <w:r>
        <w:rPr>
          <w:rFonts w:hint="eastAsia" w:ascii="仿宋_GB2312" w:hAnsi="宋体" w:eastAsia="仿宋_GB2312" w:cs="Courier New"/>
          <w:sz w:val="32"/>
          <w:szCs w:val="32"/>
        </w:rPr>
        <w:t>Am Ende des Zeitraumsrzeuge in unserer Einheit, davon 0 allgemeine Dienstfahrzeuge 0 allgemeine Strafverfolgungsfahrzeuge 0 spezielle professionelle technische Fahrzeuge 0 andere Fahrzeug Sätze von allgemeinen Geräten mit einem Stückpreis von mehr als 500.000 Yuan und 62 Sätze von speziellen Geräten mit einem Stückwert von mehr als 1 Million Yuan</w:t>
      </w:r>
      <w:r>
        <w:rPr>
          <w:rFonts w:hint="eastAsia" w:ascii="黑体" w:hAnsi="黑体" w:eastAsia="黑体"/>
          <w:sz w:val="32"/>
          <w:szCs w:val="32"/>
        </w:rPr>
        <w:t>stantive</w:t>
      </w:r>
    </w:p>
    <w:p>
      <w:pPr>
        <w:kinsoku w:val="0"/>
        <w:overflowPunct w:val="0"/>
        <w:autoSpaceDE w:val="0"/>
        <w:autoSpaceDN w:val="0"/>
        <w:adjustRightInd w:val="0"/>
        <w:snapToGrid w:val="0"/>
        <w:spacing w:line="360" w:lineRule="auto"/>
        <w:ind w:firstLine="640" w:firstLineChars="200"/>
        <w:rPr>
          <w:rFonts w:ascii="仿宋_GB2312" w:hAnsi="宋体" w:eastAsia="仿宋_GB2312" w:cs="Courier New"/>
          <w:sz w:val="32"/>
          <w:szCs w:val="32"/>
        </w:rPr>
      </w:pPr>
      <w:r>
        <w:rPr>
          <w:rFonts w:hint="eastAsia" w:ascii="仿宋_GB2312" w:hAnsi="仿宋" w:eastAsia="仿宋_GB2312" w:cs="仿宋_GB2312"/>
          <w:sz w:val="32"/>
          <w:szCs w:val="32"/>
        </w:rPr>
        <w:t>Ein Steuereinkommen bezieht sich auf die Mittel, die von den Provinzfinanzen in diesem Jahr zugewiesen wurden Einschließlich allgemeiner Mittel aus dem öffentlichen Haushalt Mittel aus dem Staatsfonds Mittel aus dem Staatshaushalt Mittel aus dem Betriebshaushalt</w:t>
      </w:r>
    </w:p>
    <w:p>
      <w:pPr>
        <w:kinsoku w:val="0"/>
        <w:overflowPunct w:val="0"/>
        <w:autoSpaceDE w:val="0"/>
        <w:autoSpaceDN w:val="0"/>
        <w:adjustRightInd w:val="0"/>
        <w:snapToGrid w:val="0"/>
        <w:spacing w:line="360" w:lineRule="auto"/>
        <w:ind w:firstLine="640" w:firstLineChars="200"/>
        <w:rPr>
          <w:rFonts w:ascii="仿宋_GB2312" w:hAnsi="仿宋" w:eastAsia="仿宋_GB2312" w:cs="仿宋_GB2312"/>
          <w:sz w:val="32"/>
          <w:szCs w:val="32"/>
        </w:rPr>
      </w:pPr>
      <w:r>
        <w:rPr>
          <w:rFonts w:ascii="仿宋_GB2312" w:hAnsi="仿宋" w:eastAsia="仿宋_GB2312" w:cs="仿宋_GB2312"/>
          <w:sz w:val="32"/>
          <w:szCs w:val="32"/>
        </w:rPr>
        <w:t>Finanzkontoverwaltungsfonds beziehen sich auf Bildungsgebühren wie Studiengebühren über der High School, Unterbringungskosten, die auf das Finanzkonto für die spezielle Verwaltung gezahlt werden, und Ausbildungsgebühren, die von Hochschulen und Universitäten in Auftrag gegeben werden, Briefe, Fernsehuniversitäten, Abenduniversitäten und Kursgebühren.</w:t>
      </w:r>
    </w:p>
    <w:p>
      <w:pPr>
        <w:kinsoku w:val="0"/>
        <w:overflowPunct w:val="0"/>
        <w:autoSpaceDE w:val="0"/>
        <w:autoSpaceDN w:val="0"/>
        <w:adjustRightInd w:val="0"/>
        <w:snapToGrid w:val="0"/>
        <w:spacing w:line="360" w:lineRule="auto"/>
        <w:ind w:firstLine="640" w:firstLineChars="200"/>
        <w:rPr>
          <w:rFonts w:ascii="仿宋_GB2312" w:hAnsi="宋体" w:eastAsia="仿宋_GB2312" w:cs="Courier New"/>
          <w:sz w:val="32"/>
          <w:szCs w:val="32"/>
        </w:rPr>
      </w:pPr>
      <w:r>
        <w:rPr>
          <w:rFonts w:hint="eastAsia" w:ascii="仿宋_GB2312" w:hAnsi="宋体" w:eastAsia="仿宋_GB2312" w:cs="Courier New"/>
          <w:sz w:val="32"/>
          <w:szCs w:val="32"/>
        </w:rPr>
        <w:t>Die Einnahmen der drei Unternehmen beziehen sich auf die Einnahmen, die öffentliche Einrichtungen bei der Ausübung beruflicher Tätigkeiten und Hilfstätigkeiten erzielen, ohne Bildungsgebühren.</w:t>
      </w:r>
    </w:p>
    <w:p>
      <w:pPr>
        <w:kinsoku w:val="0"/>
        <w:overflowPunct w:val="0"/>
        <w:autoSpaceDE w:val="0"/>
        <w:autoSpaceDN w:val="0"/>
        <w:adjustRightInd w:val="0"/>
        <w:snapToGrid w:val="0"/>
        <w:spacing w:line="360" w:lineRule="auto"/>
        <w:rPr>
          <w:rFonts w:hint="eastAsia" w:ascii="仿宋_GB2312" w:hAnsi="宋体" w:eastAsia="仿宋_GB2312" w:cs="Courier New"/>
          <w:sz w:val="32"/>
          <w:szCs w:val="32"/>
        </w:rPr>
      </w:pPr>
      <w:r>
        <w:rPr>
          <w:rFonts w:hint="eastAsia" w:ascii="仿宋_GB2312" w:hAnsi="宋体" w:eastAsia="仿宋_GB2312" w:cs="Courier New"/>
          <w:sz w:val="32"/>
          <w:szCs w:val="32"/>
        </w:rPr>
        <w:t>etriebsergebnis öffentlicher Einrichtungen bezieht sich auf das Einkffentliche Einrichtungen ausDurchunabhängiger Rechnungslegungsgeschäfte außerhalb ihrer professionellen Geschäftstätigkeiten und ihrer Nebentätigkeiten erzielen</w:t>
      </w:r>
    </w:p>
    <w:p>
      <w:pPr>
        <w:kinsoku w:val="0"/>
        <w:overflowPunct w:val="0"/>
        <w:autoSpaceDE w:val="0"/>
        <w:autoSpaceDN w:val="0"/>
        <w:adjustRightInd w:val="0"/>
        <w:snapToGrid w:val="0"/>
        <w:spacing w:line="360" w:lineRule="auto"/>
        <w:ind w:firstLine="640" w:firstLineChars="200"/>
        <w:rPr>
          <w:rFonts w:ascii="仿宋_GB2312" w:hAnsi="宋体" w:eastAsia="仿宋_GB2312" w:cs="Courier New"/>
          <w:sz w:val="32"/>
          <w:szCs w:val="32"/>
        </w:rPr>
      </w:pPr>
      <w:r>
        <w:rPr>
          <w:rFonts w:hint="eastAsia" w:ascii="仿宋_GB2312" w:hAnsi="宋体" w:eastAsia="仿宋_GB2312" w:cs="Courier New"/>
          <w:sz w:val="32"/>
          <w:szCs w:val="32"/>
        </w:rPr>
        <w:t xml:space="preserve">Fünf Sonstige Einnahmen beziehen sich auf andere Einnahmen als die von der Einheit erzielten Einnahmen aus den Finanzmitteln der Unternehmen und den Betriebserträgen der Institutionen usw. </w:t>
      </w:r>
    </w:p>
    <w:p>
      <w:pPr>
        <w:kinsoku w:val="0"/>
        <w:overflowPunct w:val="0"/>
        <w:autoSpaceDE w:val="0"/>
        <w:autoSpaceDN w:val="0"/>
        <w:adjustRightInd w:val="0"/>
        <w:snapToGrid w:val="0"/>
        <w:spacing w:line="360" w:lineRule="auto"/>
        <w:ind w:firstLine="640" w:firstLineChars="200"/>
        <w:rPr>
          <w:rFonts w:ascii="仿宋_GB2312" w:hAnsi="宋体" w:eastAsia="仿宋_GB2312" w:cs="Courier New"/>
          <w:sz w:val="32"/>
          <w:szCs w:val="32"/>
        </w:rPr>
      </w:pPr>
      <w:r>
        <w:rPr>
          <w:rFonts w:hint="eastAsia" w:ascii="仿宋_GB2312" w:hAnsi="宋体" w:eastAsia="仿宋_GB2312" w:cs="Courier New"/>
          <w:sz w:val="32"/>
          <w:szCs w:val="32"/>
        </w:rPr>
        <w:t>Sechs Unternehmen verwenden, um die Differenz zwischen Einnahmen und Ausgaben auszugleichen Bezieht sich auf ddie Einnahmen aus den Mittelzuweisungen des laufenden Jahres, die Einnahmen aus dem Betriebsergebnis und die sonstigen Einnahmen des laufenden Jahres nicht ausreichen, um die Ausgaben des laufenden Jahres zu finanzieren. Verwenden Sie die in den Vorjahren angesammelten Betriebsmittel, dh die Einnahmen und Ausgaben der Institutionen in den Vorjahren, umferenz zwischen den Einnahmen und Ausgaben der folgenden Jahre gemäß den staatlichen Vorschriften auszugleichen, um die Lücke zwischen den Einnahmen und Ausgaben des laufenden Jahres auszugleichen.</w:t>
      </w:r>
    </w:p>
    <w:p>
      <w:pPr>
        <w:kinsoku w:val="0"/>
        <w:overflowPunct w:val="0"/>
        <w:autoSpaceDE w:val="0"/>
        <w:autoSpaceDN w:val="0"/>
        <w:adjustRightInd w:val="0"/>
        <w:snapToGrid w:val="0"/>
        <w:spacing w:line="360" w:lineRule="auto"/>
        <w:ind w:firstLine="640" w:firstLineChars="200"/>
        <w:rPr>
          <w:rFonts w:ascii="仿宋_GB2312" w:hAnsi="宋体" w:eastAsia="仿宋_GB2312" w:cs="Courier New"/>
          <w:sz w:val="32"/>
          <w:szCs w:val="32"/>
        </w:rPr>
      </w:pPr>
      <w:r>
        <w:rPr>
          <w:rFonts w:hint="eastAsia" w:ascii="仿宋_GB2312" w:hAnsi="宋体" w:eastAsia="仿宋_GB2312" w:cs="Courier New"/>
          <w:sz w:val="32"/>
          <w:szCs w:val="32"/>
        </w:rPr>
        <w:t>Sieben Grundausgaben beziehen sich auf die Ausgaben, die erforderlich sind, um den normalen Betrieb der Organierfüllen. Der Inhalt umfasst zwei Teile: Personalkosten und tägliche öffentliche Ausgaben.</w:t>
      </w:r>
    </w:p>
    <w:p>
      <w:pPr>
        <w:kinsoku w:val="0"/>
        <w:overflowPunct w:val="0"/>
        <w:autoSpaceDE w:val="0"/>
        <w:autoSpaceDN w:val="0"/>
        <w:adjustRightInd w:val="0"/>
        <w:snapToGrid w:val="0"/>
        <w:spacing w:line="360" w:lineRule="auto"/>
        <w:ind w:firstLine="640" w:firstLineChars="200"/>
        <w:rPr>
          <w:rFonts w:hint="eastAsia" w:ascii="仿宋_GB2312" w:hAnsi="宋体" w:eastAsia="仿宋_GB2312" w:cs="Courier New"/>
          <w:sz w:val="32"/>
          <w:szCs w:val="32"/>
        </w:rPr>
      </w:pPr>
      <w:r>
        <w:rPr>
          <w:rFonts w:hint="eastAsia" w:ascii="仿宋_GB2312" w:hAnsi="宋体" w:eastAsia="仿宋_GB2312" w:cs="Courier New"/>
          <w:sz w:val="32"/>
          <w:szCs w:val="32"/>
        </w:rPr>
        <w:t>Acht Projektausgaben beziehen sich auf Ausgaben, die zusätzlich zu den Grundausgaben anfallen, um bestimmteltungsaufgabenr Karriereentwicklungsziele zu erfüllenDie öffentlichen Mittel von 1993 beziehen sich auf die Kosten für den Kauf und Betrieb von Dienstfahrzeugen und die Kosten für den Empfang von Dienstfahrzeugen, die in den von der Haushaltsverwaltungseinheit der Provinz verwendeten Finanzmitteln enthalten sind. Unter ihnen spiegeln die Kosten für Auslandsreisen die Kosten für Unterkunft, Reisekosten, Verpflegung, sonstige Kosten, Schulungen und andere Ausgaben für offizielle Auslandsreisen der Einheit wider. Die Anschaffungs- und Betriebskosten für Dienstfah Versicherungskosten, Sicherheitsanreize und andere Ausgaben Die offiziellen Empfangsgebühren spiegeln alle Arten von offiziellen Empfangskosten wider, einschließlich der Ausgaben für ausländische Gäste, die von der Einheit gemäß den Vorschriften ausgegeben werden</w:t>
      </w:r>
    </w:p>
    <w:p>
      <w:pPr>
        <w:kinsoku w:val="0"/>
        <w:overflowPunct w:val="0"/>
        <w:autoSpaceDE w:val="0"/>
        <w:autoSpaceDN w:val="0"/>
        <w:adjustRightInd w:val="0"/>
        <w:snapToGrid w:val="0"/>
        <w:spacing w:line="360" w:lineRule="auto"/>
        <w:ind w:firstLine="640" w:firstLineChars="200"/>
        <w:rPr>
          <w:rFonts w:hint="eastAsia" w:ascii="仿宋_GB2312" w:hAnsi="宋体" w:eastAsia="仿宋_GB2312" w:cs="Courier New"/>
          <w:sz w:val="32"/>
          <w:szCs w:val="32"/>
        </w:rPr>
      </w:pPr>
      <w:r>
        <w:rPr>
          <w:rFonts w:hint="eastAsia" w:ascii="仿宋_GB2312" w:hAnsi="宋体" w:eastAsia="仿宋_GB2312" w:cs="Courier New"/>
          <w:sz w:val="32"/>
          <w:szCs w:val="32"/>
        </w:rPr>
        <w:t>Zehn Betriebsmittel von Verwaltungseinheiten Bezieht sich auf verschiedene Fonds, die für den Kauf von Waren und Dienstleistungen zum Schutz von Einheiten, einschließlich Verwaltungseinheiten und Institutionen, verwendet werden Einschließlich Büro- und Druckkosten, Post- und Telekommunikationskosten, Reisekosten, Konferenzkosten, Sozialkosten, tägliche Wartungskosten und Anschaffungskosten für allgemeine Ausrüstung, Bürogebäude, Nebenkosten, Heizkosten, Bürogebäude, Immobilienverwaltungskosten, Betriebs- und Wartungskosten für Dienstfahrzeuge und andere Kosten</w:t>
      </w:r>
    </w:p>
    <w:p>
      <w:pPr>
        <w:adjustRightInd w:val="0"/>
        <w:snapToGrid w:val="0"/>
        <w:spacing w:line="360" w:lineRule="auto"/>
        <w:ind w:firstLine="632" w:firstLineChars="200"/>
        <w:rPr>
          <w:rFonts w:ascii="黑体" w:hAnsi="黑体" w:eastAsia="黑体"/>
          <w:sz w:val="32"/>
          <w:szCs w:val="32"/>
        </w:rPr>
      </w:pPr>
      <w:r>
        <w:rPr>
          <w:rFonts w:hint="eastAsia" w:ascii="仿宋" w:hAnsi="仿宋" w:eastAsia="仿宋" w:cs="仿宋"/>
          <w:color w:val="000000"/>
          <w:spacing w:val="8"/>
          <w:kern w:val="0"/>
          <w:sz w:val="30"/>
          <w:szCs w:val="30"/>
          <w:shd w:val="clear" w:color="auto" w:fill="FFFFFF"/>
          <w:lang w:val="en-US" w:eastAsia="zh-CN" w:bidi="ar-SA"/>
        </w:rPr>
        <w:t>Aufbaus von Krankenhausinformationen, transformiert die Geschäftsstrategie, verbessert das Servicemodell und erreicht schließlich eine zufriedenere Patientenzufriedenheit Zum 31. Dezember 2022 betrug der durchschnittliche Personalbestand des Krankenhauses 1720 Angestellte 515 Nichtangestellte 1205 Gründe für die Entwicklung und Einrichtung des Krankenhauses Rentner 249 Personen 3.000 Betten in Krankenhäusern zum 31. Dezember</w:t>
      </w:r>
      <w:r>
        <w:rPr>
          <w:rFonts w:hint="eastAsia" w:ascii="黑体" w:hAnsi="黑体" w:eastAsia="黑体"/>
          <w:sz w:val="32"/>
          <w:szCs w:val="32"/>
          <w:lang w:eastAsia="zh-CN"/>
        </w:rPr>
        <w:t>r zweiten Henan-Universität</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632" w:firstLineChars="20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Haushaltseinheit Eine Einheit auf Unternehmensebene</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632" w:firstLineChars="20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Parteisekretär Zhang Qiumei</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632" w:firstLineChars="20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Dean Zhang Shuanglin</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632" w:firstLineChars="20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Stellvertretender Sekretär des Parteikomitees Sekretär der Disziplinarkommission Stellvertretender Präsident des Hauptbuchhalters Vorsitzender der</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632" w:firstLineChars="20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 xml:space="preserve">Interne institutionelle Einrichtung </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0" w:firstLineChars="0"/>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14 Abteilungen für Partei- und Regierungsverwaltung</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0" w:firstLineChars="0"/>
        <w:jc w:val="left"/>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3 Gruppenagenturen der Zweiten Kommission für Disziplinarkontrolle</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700" w:lineRule="exact"/>
        <w:ind w:firstLine="0" w:firstLineChars="0"/>
        <w:jc w:val="left"/>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20 Abteilungen in drei Geschäftsbereichen</w:t>
      </w:r>
    </w:p>
    <w:p>
      <w:pPr>
        <w:keepNext w:val="0"/>
        <w:keepLines w:val="0"/>
        <w:pageBreakBefore w:val="0"/>
        <w:widowControl/>
        <w:suppressLineNumbers w:val="0"/>
        <w:kinsoku/>
        <w:wordWrap/>
        <w:overflowPunct/>
        <w:topLinePunct w:val="0"/>
        <w:autoSpaceDE/>
        <w:autoSpaceDN/>
        <w:bidi w:val="0"/>
        <w:adjustRightInd/>
        <w:snapToGrid/>
        <w:spacing w:line="700" w:lineRule="exact"/>
        <w:ind w:firstLine="0" w:firstLineChars="0"/>
        <w:jc w:val="left"/>
        <w:textAlignment w:val="auto"/>
        <w:rPr>
          <w:rFonts w:hint="eastAsia" w:ascii="仿宋" w:hAnsi="仿宋" w:eastAsia="仿宋" w:cs="仿宋"/>
          <w:color w:val="000000"/>
          <w:spacing w:val="8"/>
          <w:kern w:val="0"/>
          <w:sz w:val="30"/>
          <w:szCs w:val="30"/>
          <w:shd w:val="clear" w:color="auto" w:fill="FFFFFF"/>
          <w:lang w:val="en-US" w:eastAsia="zh-CN" w:bidi="ar-SA"/>
        </w:rPr>
      </w:pPr>
      <w:r>
        <w:rPr>
          <w:rFonts w:hint="eastAsia" w:ascii="仿宋" w:hAnsi="仿宋" w:eastAsia="仿宋" w:cs="仿宋"/>
          <w:color w:val="000000"/>
          <w:spacing w:val="8"/>
          <w:kern w:val="0"/>
          <w:sz w:val="30"/>
          <w:szCs w:val="30"/>
          <w:shd w:val="clear" w:color="auto" w:fill="FFFFFF"/>
          <w:lang w:val="en-US" w:eastAsia="zh-CN" w:bidi="ar-SA"/>
        </w:rPr>
        <w:t>51 in vier Geschäftsbereichen</w:t>
      </w:r>
    </w:p>
    <w:p>
      <w:pPr>
        <w:adjustRightInd w:val="0"/>
        <w:snapToGrid w:val="0"/>
        <w:spacing w:line="360" w:lineRule="auto"/>
        <w:jc w:val="both"/>
        <w:rPr>
          <w:rFonts w:ascii="黑体" w:hAnsi="黑体" w:eastAsia="黑体"/>
          <w:sz w:val="32"/>
          <w:szCs w:val="32"/>
        </w:rPr>
      </w:pPr>
      <w:r>
        <w:rPr>
          <w:rFonts w:hint="eastAsia" w:ascii="黑体" w:hAnsi="黑体" w:eastAsia="黑体"/>
          <w:sz w:val="32"/>
          <w:szCs w:val="32"/>
          <w:lang w:eastAsia="zh-CN"/>
        </w:rPr>
        <w:t>Beschreibung des Budgets 2023 des Ersten angegliederten Krankenhauses der Henan-Universität</w:t>
      </w:r>
    </w:p>
    <w:p>
      <w:pPr>
        <w:adjustRightInd w:val="0"/>
        <w:snapToGrid w:val="0"/>
        <w:spacing w:line="360" w:lineRule="auto"/>
        <w:ind w:firstLine="640" w:firstLineChars="200"/>
        <w:rPr>
          <w:rFonts w:ascii="黑体" w:hAnsi="黑体" w:eastAsia="黑体"/>
          <w:sz w:val="32"/>
          <w:szCs w:val="32"/>
        </w:rPr>
      </w:pPr>
    </w:p>
    <w:p>
      <w:pPr>
        <w:adjustRightInd w:val="0"/>
        <w:snapToGrid w:val="0"/>
        <w:spacing w:line="560" w:lineRule="exact"/>
        <w:ind w:firstLine="640" w:firstLineChars="200"/>
        <w:contextualSpacing/>
        <w:rPr>
          <w:rFonts w:ascii="黑体" w:hAnsi="黑体" w:eastAsia="黑体"/>
          <w:sz w:val="32"/>
          <w:szCs w:val="32"/>
        </w:rPr>
      </w:pPr>
      <w:r>
        <w:rPr>
          <w:rFonts w:hint="eastAsia" w:ascii="黑体" w:hAnsi="黑体" w:eastAsia="黑体"/>
          <w:sz w:val="32"/>
          <w:szCs w:val="32"/>
        </w:rPr>
        <w:t>Eine allgemeine Beschreibung des Einnahmen- und Ausgabenbudgets</w:t>
      </w:r>
    </w:p>
    <w:p>
      <w:pPr>
        <w:spacing w:line="560" w:lineRule="exact"/>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Die Einnahmen des ersten angegliederten Krankenhauses der Henan-Universität beliefen sich im Jahr 2023 auf 80,1379 Millionen Yuan, die Ausgaben auf 80,1379 Millionen Yuan und die Einnahmen auf 56,982 Millionen Yuan. Die Hauptgründe für die Auswirkungen der Epidemie sind die Verringerung des Neugeschäfts, die Entwicklung neuer Technologien und die kontinuierliche Verbesserung der medizinischen Qualität und der Servicefähigkeiten von Krankenhäusern. Die Ausgaben stiegen um 56,982 Millionen Yuan und stiegen um 7,65%. Dies war hauptsächlich auf den Anstieg der Investitionen in die Ausbildung des Personals für den Bau von Ausrüstungen, den Kauf von Einrichtungen und die Umgestaltung von Krankenhäusern, regionalen regionalen medizinischen Zentren und anderen Investitionen zurückzuführen.</w:t>
      </w:r>
    </w:p>
    <w:p>
      <w:pPr>
        <w:spacing w:line="560" w:lineRule="exact"/>
        <w:ind w:firstLine="640" w:firstLineChars="200"/>
        <w:rPr>
          <w:rFonts w:ascii="黑体" w:hAnsi="黑体" w:eastAsia="黑体"/>
          <w:sz w:val="32"/>
          <w:szCs w:val="32"/>
        </w:rPr>
      </w:pPr>
      <w:r>
        <w:rPr>
          <w:rFonts w:hint="eastAsia" w:ascii="黑体" w:hAnsi="黑体" w:eastAsia="黑体"/>
          <w:sz w:val="32"/>
          <w:szCs w:val="32"/>
        </w:rPr>
        <w:t>Allgemeiner Überblick über das zweite Einnahmenbudget</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lang w:eastAsia="zh-CN"/>
        </w:rPr>
        <w:t>Das Gesamteinkommen des ersten angegliederten Krankenhauses der Henan-Universität im Jahr 2023 betrug 80,379 Millionen Yuan, davon 5 Millionen Yuan im allgemeinen öffentlichen Haushalt; Geschäftseinkommen 764,379 Millionen Yuan Sonstige Einnahmen 32 Millionen</w:t>
      </w:r>
    </w:p>
    <w:p>
      <w:pPr>
        <w:spacing w:line="560" w:lineRule="exact"/>
        <w:ind w:firstLine="640" w:firstLineChars="200"/>
        <w:rPr>
          <w:rFonts w:hint="eastAsia" w:ascii="仿宋_GB2312" w:eastAsia="仿宋_GB2312"/>
          <w:sz w:val="32"/>
          <w:szCs w:val="32"/>
        </w:rPr>
      </w:pPr>
      <w:r>
        <w:rPr>
          <w:rFonts w:hint="eastAsia" w:ascii="黑体" w:hAnsi="黑体" w:eastAsia="黑体"/>
          <w:sz w:val="32"/>
          <w:szCs w:val="32"/>
        </w:rPr>
        <w:t>Allgemeine Beschreibung der drei Ausgabenbudgets</w:t>
      </w:r>
    </w:p>
    <w:p>
      <w:pPr>
        <w:spacing w:line="560" w:lineRule="exact"/>
        <w:ind w:firstLine="640" w:firstLineChars="200"/>
        <w:rPr>
          <w:rFonts w:hint="eastAsia" w:ascii="仿宋_GB2312" w:eastAsia="仿宋_GB2312"/>
          <w:sz w:val="32"/>
          <w:szCs w:val="32"/>
        </w:rPr>
      </w:pPr>
      <w:r>
        <w:rPr>
          <w:rFonts w:hint="eastAsia" w:ascii="仿宋_GB2312" w:eastAsia="仿宋_GB2312"/>
          <w:sz w:val="32"/>
          <w:szCs w:val="32"/>
          <w:lang w:eastAsia="zh-CN"/>
        </w:rPr>
        <w:t>Die Gesamtausgaben des ersten angegliederten Krankenhauses der Henan-Universität im Jahr 2023 beliefen sich auf 80,1379 Millionen Yuan, wovon 16,811 Millionen Yuan Sozial- und Sicherheitsausgaben 2,1% ausmachte7,7</w:t>
      </w:r>
      <w:r>
        <w:rPr>
          <w:rFonts w:hint="eastAsia" w:ascii="仿宋_GB2312" w:hAnsi="宋体" w:eastAsia="仿宋_GB2312" w:cs="Courier New"/>
          <w:sz w:val="32"/>
          <w:szCs w:val="32"/>
          <w:lang w:val="en-US" w:eastAsia="zh-CN"/>
        </w:rPr>
        <w:t xml:space="preserve">Ausgaben für Wohnraumsicherheit 1,1 Millionen Yuan Anteil </w:t>
      </w:r>
      <w:r>
        <w:rPr>
          <w:rFonts w:hint="eastAsia" w:ascii="黑体" w:hAnsi="黑体" w:eastAsia="黑体"/>
          <w:sz w:val="32"/>
          <w:szCs w:val="32"/>
        </w:rPr>
        <w:t>nen über die Einnahmen und Ausgaben der vier Finanzmittel</w:t>
      </w:r>
    </w:p>
    <w:p>
      <w:pPr>
        <w:spacing w:line="560" w:lineRule="exact"/>
        <w:ind w:firstLine="640" w:firstLineChars="200"/>
        <w:rPr>
          <w:rFonts w:hint="eastAsia" w:ascii="仿宋_GB2312" w:hAnsi="宋体" w:eastAsia="仿宋_GB2312" w:cs="Courier New"/>
          <w:sz w:val="32"/>
          <w:szCs w:val="32"/>
        </w:rPr>
      </w:pPr>
      <w:r>
        <w:rPr>
          <w:rFonts w:hint="eastAsia" w:ascii="仿宋_GB2312" w:eastAsia="仿宋_GB2312"/>
          <w:sz w:val="32"/>
          <w:szCs w:val="32"/>
          <w:lang w:eastAsia="zh-CN"/>
        </w:rPr>
        <w:t>Das erste angegliederte Krankenhaus der Henan-Universität hat 2023 ein allgemeines öffentliches Haushaltsbudget von 5 Millionen Yuan</w:t>
      </w:r>
    </w:p>
    <w:p>
      <w:pPr>
        <w:spacing w:line="560" w:lineRule="exact"/>
        <w:ind w:firstLine="640" w:firstLineChars="200"/>
        <w:rPr>
          <w:rFonts w:hint="eastAsia" w:ascii="仿宋_GB2312" w:eastAsia="仿宋_GB2312"/>
          <w:sz w:val="32"/>
          <w:szCs w:val="32"/>
        </w:rPr>
      </w:pPr>
      <w:r>
        <w:rPr>
          <w:rFonts w:hint="eastAsia" w:ascii="黑体" w:hAnsi="黑体" w:eastAsia="黑体"/>
          <w:sz w:val="32"/>
          <w:szCs w:val="32"/>
        </w:rPr>
        <w:t>5 Erläuterungen zu den Ausgaben des allgemeinen öffentlichen Haushalts</w:t>
      </w:r>
    </w:p>
    <w:p>
      <w:pPr>
        <w:spacing w:line="560" w:lineRule="exact"/>
        <w:ind w:firstLine="640" w:firstLineChars="200"/>
        <w:rPr>
          <w:rFonts w:hint="eastAsia" w:ascii="仿宋_GB2312" w:eastAsia="仿宋_GB2312"/>
          <w:sz w:val="32"/>
          <w:szCs w:val="32"/>
        </w:rPr>
      </w:pPr>
      <w:r>
        <w:rPr>
          <w:rFonts w:hint="eastAsia" w:ascii="仿宋_GB2312" w:hAnsi="宋体" w:eastAsia="仿宋_GB2312" w:cs="Courier New"/>
          <w:sz w:val="32"/>
          <w:szCs w:val="32"/>
        </w:rPr>
        <w:t>Die Ausgaben des ersten angegliederten Krankenhauses der Henan-Universität für den allgemeinen öffentlichen Haushalt für 2023 beliefen sich zu Beginn des Jahres auf 5 Millionen Yuan  Davon entfielen auf die Grundausgaben 10</w:t>
      </w:r>
      <w:r>
        <w:rPr>
          <w:rFonts w:hint="eastAsia" w:ascii="黑体" w:hAnsi="黑体" w:eastAsia="黑体"/>
          <w:sz w:val="32"/>
          <w:szCs w:val="32"/>
        </w:rPr>
        <w:t>Sechs Erläuterungen zu den Basisausgaben des allgemeinen öffentlichen Haushalts</w:t>
      </w:r>
    </w:p>
    <w:p>
      <w:pPr>
        <w:spacing w:line="560" w:lineRule="exact"/>
        <w:ind w:firstLine="640" w:firstLineChars="200"/>
        <w:rPr>
          <w:rFonts w:hint="eastAsia" w:ascii="仿宋_GB2312" w:eastAsia="仿宋_GB2312"/>
          <w:sz w:val="32"/>
          <w:szCs w:val="32"/>
        </w:rPr>
      </w:pPr>
      <w:r>
        <w:rPr>
          <w:rFonts w:hint="eastAsia" w:ascii="仿宋_GB2312" w:hAnsi="宋体" w:eastAsia="仿宋_GB2312" w:cs="Courier New"/>
          <w:sz w:val="32"/>
          <w:szCs w:val="32"/>
        </w:rPr>
        <w:t>Das erste angegliederte Krankenhaus der Henan-Universität h Haushalt zu Beginn des Jahres auf 107.000 Yuan veranschlagt Davon entfielen an auf Personalausgaben, die 100% ausmachten</w:t>
      </w:r>
    </w:p>
    <w:p>
      <w:pPr>
        <w:spacing w:line="560" w:lineRule="exact"/>
        <w:ind w:firstLine="640" w:firstLineChars="200"/>
        <w:rPr>
          <w:rFonts w:hint="eastAsia" w:ascii="仿宋_GB2312" w:eastAsia="仿宋_GB2312"/>
          <w:sz w:val="32"/>
          <w:szCs w:val="32"/>
        </w:rPr>
      </w:pPr>
      <w:r>
        <w:rPr>
          <w:rFonts w:hint="eastAsia" w:ascii="黑体" w:hAnsi="Times New Roman" w:eastAsia="黑体" w:cs="黑体"/>
          <w:kern w:val="0"/>
          <w:sz w:val="32"/>
          <w:szCs w:val="32"/>
        </w:rPr>
        <w:t>Erläuterung der öffentlichen Ausgaben</w:t>
      </w:r>
    </w:p>
    <w:p>
      <w:pPr>
        <w:spacing w:line="560" w:lineRule="exact"/>
        <w:ind w:firstLine="640" w:firstLineChars="200"/>
        <w:rPr>
          <w:rFonts w:hint="eastAsia" w:ascii="仿宋_GB2312" w:eastAsia="仿宋_GB2312"/>
          <w:sz w:val="32"/>
          <w:szCs w:val="32"/>
        </w:rPr>
      </w:pPr>
      <w:r>
        <w:rPr>
          <w:rFonts w:hint="eastAsia" w:ascii="仿宋_GB2312" w:hAnsi="宋体" w:eastAsia="仿宋_GB2312" w:cs="Courier New"/>
          <w:sz w:val="32"/>
          <w:szCs w:val="32"/>
        </w:rPr>
        <w:t>Das Budget unserer Einheit für die drei öffentlichen Mittel im Jahr 2023 beträgt 1 Million YuanDas Budget der drei öffentliche</w:t>
      </w:r>
    </w:p>
    <w:p>
      <w:pPr>
        <w:kinsoku w:val="0"/>
        <w:overflowPunct w:val="0"/>
        <w:autoSpaceDE w:val="0"/>
        <w:autoSpaceDN w:val="0"/>
        <w:adjustRightInd w:val="0"/>
        <w:snapToGrid w:val="0"/>
        <w:spacing w:line="360" w:lineRule="auto"/>
        <w:ind w:firstLine="640" w:firstLineChars="200"/>
        <w:rPr>
          <w:rFonts w:hint="eastAsia" w:ascii="仿宋_GB2312" w:hAnsi="宋体" w:eastAsia="仿宋_GB2312" w:cs="Courier New"/>
          <w:sz w:val="32"/>
          <w:szCs w:val="32"/>
        </w:rPr>
      </w:pPr>
      <w:r>
        <w:rPr>
          <w:rFonts w:hint="eastAsia" w:ascii="仿宋_GB2312" w:hAnsi="宋体" w:eastAsia="仿宋_GB2312" w:cs="Courier New"/>
          <w:sz w:val="32"/>
          <w:szCs w:val="32"/>
        </w:rPr>
        <w:t>Die spezifischen Ausgaben sind wie folgt</w:t>
      </w:r>
    </w:p>
    <w:p>
      <w:pPr>
        <w:kinsoku w:val="0"/>
        <w:overflowPunct w:val="0"/>
        <w:autoSpaceDE w:val="0"/>
        <w:autoSpaceDN w:val="0"/>
        <w:adjustRightInd w:val="0"/>
        <w:snapToGrid w:val="0"/>
        <w:spacing w:line="360" w:lineRule="auto"/>
        <w:ind w:firstLine="640" w:firstLineChars="200"/>
        <w:rPr>
          <w:rFonts w:hint="default" w:ascii="仿宋_GB2312" w:hAnsi="宋体" w:eastAsia="仿宋_GB2312" w:cs="Courier New"/>
          <w:sz w:val="32"/>
          <w:szCs w:val="32"/>
          <w:lang w:val="en-US" w:eastAsia="zh-CN"/>
        </w:rPr>
      </w:pPr>
      <w:r>
        <w:rPr>
          <w:rFonts w:hint="eastAsia" w:ascii="仿宋_GB2312" w:hAnsi="宋体" w:eastAsia="仿宋_GB2312" w:cs="Courier New"/>
          <w:sz w:val="32"/>
          <w:szCs w:val="32"/>
          <w:lang w:val="en-US" w:eastAsia="zh-CN"/>
        </w:rPr>
        <w:t>Offizielle Empfangsgebühr von n Betriebs- und Wartungskosten für Dienstfahrzeugean</w:t>
      </w:r>
    </w:p>
    <w:p>
      <w:pPr>
        <w:numPr>
          <w:ilvl w:val="0"/>
          <w:numId w:val="1"/>
        </w:numPr>
        <w:kinsoku w:val="0"/>
        <w:overflowPunct w:val="0"/>
        <w:autoSpaceDE w:val="0"/>
        <w:autoSpaceDN w:val="0"/>
        <w:adjustRightInd w:val="0"/>
        <w:snapToGrid w:val="0"/>
        <w:spacing w:line="360" w:lineRule="auto"/>
        <w:ind w:firstLine="640" w:firstLineChars="200"/>
        <w:rPr>
          <w:rFonts w:hint="eastAsia" w:ascii="仿宋_GB2312" w:hAnsi="宋体" w:eastAsia="仿宋_GB2312" w:cs="Courier New"/>
          <w:sz w:val="32"/>
          <w:szCs w:val="32"/>
        </w:rPr>
      </w:pPr>
      <w:r>
        <w:rPr>
          <w:rFonts w:hint="eastAsia" w:ascii="仿宋_GB2312" w:hAnsi="宋体" w:eastAsia="仿宋_GB2312" w:cs="Courier New"/>
          <w:sz w:val="32"/>
          <w:szCs w:val="32"/>
        </w:rPr>
        <w:t>Die Kosten für Auslandsreisen in Höhe von 100.000 Yuan werden hauptsächlich für Unterbringung, Reisen, Verpflegung, sonstige Ausgaben, Schulungen und andere Ausgaben für Mitarbeiter der Einheit verwendet, die ins Ausland reisen</w:t>
      </w:r>
    </w:p>
    <w:p>
      <w:pPr>
        <w:numPr>
          <w:ilvl w:val="0"/>
          <w:numId w:val="1"/>
        </w:numPr>
        <w:kinsoku w:val="0"/>
        <w:overflowPunct w:val="0"/>
        <w:autoSpaceDE w:val="0"/>
        <w:autoSpaceDN w:val="0"/>
        <w:adjustRightInd w:val="0"/>
        <w:snapToGrid w:val="0"/>
        <w:spacing w:line="360" w:lineRule="auto"/>
        <w:ind w:left="0" w:leftChars="0" w:firstLine="640" w:firstLineChars="200"/>
        <w:rPr>
          <w:rFonts w:hint="eastAsia" w:ascii="仿宋_GB2312" w:hAnsi="宋体" w:eastAsia="仿宋_GB2312" w:cs="Courier New"/>
          <w:sz w:val="32"/>
          <w:szCs w:val="32"/>
        </w:rPr>
      </w:pPr>
      <w:r>
        <w:rPr>
          <w:rFonts w:hint="eastAsia" w:ascii="仿宋_GB2312" w:hAnsi="宋体" w:eastAsia="仿宋_GB2312" w:cs="Courier New"/>
          <w:sz w:val="32"/>
          <w:szCs w:val="32"/>
        </w:rPr>
        <w:t>Die offizielle Empfangsgebühr von 520.000 Yuan wird hauptsächlich für verschiedene Arten von offiziellen Empfängen verwendet, einschließlich der Ausgaben für ausländische Gäste, die gemäß den Vorschriften ausgegeben werden</w:t>
      </w:r>
    </w:p>
    <w:p>
      <w:pPr>
        <w:numPr>
          <w:ilvl w:val="0"/>
          <w:numId w:val="0"/>
        </w:numPr>
        <w:kinsoku w:val="0"/>
        <w:overflowPunct w:val="0"/>
        <w:autoSpaceDE w:val="0"/>
        <w:autoSpaceDN w:val="0"/>
        <w:adjustRightInd w:val="0"/>
        <w:snapToGrid w:val="0"/>
        <w:spacing w:line="360" w:lineRule="auto"/>
        <w:ind w:leftChars="200" w:firstLine="320" w:firstLineChars="100"/>
        <w:rPr>
          <w:rFonts w:hint="eastAsia" w:ascii="仿宋_GB2312" w:hAnsi="宋体" w:eastAsia="仿宋_GB2312" w:cs="Courier New"/>
          <w:sz w:val="32"/>
          <w:szCs w:val="32"/>
        </w:rPr>
      </w:pPr>
      <w:r>
        <w:rPr>
          <w:rFonts w:hint="eastAsia" w:ascii="仿宋_GB2312" w:hAnsi="宋体" w:eastAsia="仿宋_GB2312" w:cs="Courier New"/>
          <w:sz w:val="32"/>
          <w:szCs w:val="32"/>
        </w:rPr>
        <w:t>Drei Anschaffungs- und Betriebskosten für Dienstfahrzeugan, wovon die Anschaffungskosten für Dienstfahrzeugean betragen Die Betriebs- und Wartungskosten von Dienstfahrzeugen in Höhe von 480.000 Yuan werden hauptsächlich für die Kraftstoffkosten von Dienstfahrzeugen verwendet, die für die Arbeit erforderlich sind, Wartungskosten für Überfahrten, Überbrückungsgebühren, Versicherungskosten, Sicherheitsanreize und andere Ausgaben</w:t>
      </w:r>
    </w:p>
    <w:p>
      <w:pPr>
        <w:spacing w:line="560" w:lineRule="exact"/>
        <w:ind w:firstLine="640" w:firstLineChars="200"/>
        <w:rPr>
          <w:rFonts w:hint="eastAsia" w:ascii="仿宋_GB2312" w:eastAsia="仿宋_GB2312"/>
          <w:sz w:val="32"/>
          <w:szCs w:val="32"/>
        </w:rPr>
      </w:pPr>
      <w:r>
        <w:rPr>
          <w:rFonts w:hint="eastAsia" w:ascii="黑体" w:hAnsi="Times New Roman" w:eastAsia="黑体" w:cs="黑体"/>
          <w:kern w:val="0"/>
          <w:sz w:val="32"/>
          <w:szCs w:val="32"/>
        </w:rPr>
        <w:t>Acht Beschreibung der Haushaltsausgaben des Staatsfonds</w:t>
      </w:r>
    </w:p>
    <w:p>
      <w:pPr>
        <w:kinsoku w:val="0"/>
        <w:overflowPunct w:val="0"/>
        <w:autoSpaceDE w:val="0"/>
        <w:autoSpaceDN w:val="0"/>
        <w:adjustRightInd w:val="0"/>
        <w:snapToGrid w:val="0"/>
        <w:spacing w:line="360" w:lineRule="auto"/>
        <w:ind w:firstLine="640" w:firstLineChars="200"/>
        <w:rPr>
          <w:rFonts w:hint="eastAsia" w:ascii="黑体" w:hAnsi="黑体" w:eastAsia="黑体"/>
          <w:sz w:val="32"/>
          <w:szCs w:val="32"/>
        </w:rPr>
      </w:pPr>
      <w:r>
        <w:rPr>
          <w:rFonts w:hint="eastAsia" w:ascii="仿宋_GB2312" w:hAnsi="宋体" w:eastAsia="仿宋_GB2312" w:cs="Courier New"/>
          <w:sz w:val="32"/>
          <w:szCs w:val="32"/>
        </w:rPr>
        <w:t>Die Haushaltsausgaben unserer Einheit für den Regierungsfonds im Jahr 2023 betragen zu Beginn des Jahres an Die spezifischen Ausgabenbedingungen lauten wie folgt: Unsere Abteilung</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jaVuSans">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WenQuanYiZenHei">
    <w:altName w:val="Segoe Print"/>
    <w:panose1 w:val="00000000000000000000"/>
    <w:charset w:val="00"/>
    <w:family w:val="auto"/>
    <w:pitch w:val="default"/>
    <w:sig w:usb0="00000000" w:usb1="00000000" w:usb2="00000000" w:usb3="00000000" w:csb0="00040001" w:csb1="00000000"/>
  </w:font>
  <w:font w:name="AdobeSongStd-Light-Identity-H">
    <w:altName w:val="Segoe Print"/>
    <w:panose1 w:val="00000000000000000000"/>
    <w:charset w:val="00"/>
    <w:family w:val="auto"/>
    <w:pitch w:val="default"/>
    <w:sig w:usb0="00000000" w:usb1="00000000" w:usb2="00000000" w:usb3="00000000" w:csb0="00040001" w:csb1="00000000"/>
  </w:font>
  <w:font w:name="仿宋_GB2312">
    <w:altName w:val="仿宋"/>
    <w:panose1 w:val="02010609030101010101"/>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00"/>
    <w:family w:val="script"/>
    <w:pitch w:val="default"/>
    <w:sig w:usb0="00000000" w:usb1="00000000" w:usb2="00000012" w:usb3="00000000" w:csb0="00040001" w:csb1="00000000"/>
  </w:font>
  <w:font w:name="楷体_GB2312">
    <w:altName w:val="楷体"/>
    <w:panose1 w:val="02010609030101010101"/>
    <w:charset w:val="00"/>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ED6DEF"/>
    <w:multiLevelType w:val="singleLevel"/>
    <w:tmpl w:val="40ED6DE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666A"/>
    <w:rsid w:val="000056FE"/>
    <w:rsid w:val="00007CC9"/>
    <w:rsid w:val="00016ADC"/>
    <w:rsid w:val="0002393F"/>
    <w:rsid w:val="000263B0"/>
    <w:rsid w:val="000328AD"/>
    <w:rsid w:val="00033F9A"/>
    <w:rsid w:val="0003777B"/>
    <w:rsid w:val="00046D83"/>
    <w:rsid w:val="00046E6B"/>
    <w:rsid w:val="00052730"/>
    <w:rsid w:val="00060437"/>
    <w:rsid w:val="00065B9E"/>
    <w:rsid w:val="000667EE"/>
    <w:rsid w:val="000749FD"/>
    <w:rsid w:val="000775BA"/>
    <w:rsid w:val="000830E3"/>
    <w:rsid w:val="00092441"/>
    <w:rsid w:val="00093C9D"/>
    <w:rsid w:val="000A07A3"/>
    <w:rsid w:val="000A18BD"/>
    <w:rsid w:val="000B2445"/>
    <w:rsid w:val="000C4CC2"/>
    <w:rsid w:val="000D025C"/>
    <w:rsid w:val="000D41D0"/>
    <w:rsid w:val="000E5387"/>
    <w:rsid w:val="000E666A"/>
    <w:rsid w:val="000E6F0D"/>
    <w:rsid w:val="000F0D3B"/>
    <w:rsid w:val="001003CC"/>
    <w:rsid w:val="0010211A"/>
    <w:rsid w:val="0010654C"/>
    <w:rsid w:val="00120162"/>
    <w:rsid w:val="00122D17"/>
    <w:rsid w:val="0012518F"/>
    <w:rsid w:val="001264BC"/>
    <w:rsid w:val="001316FD"/>
    <w:rsid w:val="001436AF"/>
    <w:rsid w:val="00145E1A"/>
    <w:rsid w:val="00147BEE"/>
    <w:rsid w:val="001613B0"/>
    <w:rsid w:val="0016268A"/>
    <w:rsid w:val="00166082"/>
    <w:rsid w:val="00176038"/>
    <w:rsid w:val="00177B9B"/>
    <w:rsid w:val="00196982"/>
    <w:rsid w:val="001A45D6"/>
    <w:rsid w:val="001C7E81"/>
    <w:rsid w:val="001F24BC"/>
    <w:rsid w:val="001F64E1"/>
    <w:rsid w:val="001F657E"/>
    <w:rsid w:val="001F6AB8"/>
    <w:rsid w:val="001F6DE1"/>
    <w:rsid w:val="00202770"/>
    <w:rsid w:val="002038FC"/>
    <w:rsid w:val="00204E18"/>
    <w:rsid w:val="0021471A"/>
    <w:rsid w:val="002155E6"/>
    <w:rsid w:val="002213D7"/>
    <w:rsid w:val="00230456"/>
    <w:rsid w:val="002318B9"/>
    <w:rsid w:val="00242997"/>
    <w:rsid w:val="00251DE8"/>
    <w:rsid w:val="00254A2A"/>
    <w:rsid w:val="002601F3"/>
    <w:rsid w:val="00267739"/>
    <w:rsid w:val="002B612E"/>
    <w:rsid w:val="002B7F7A"/>
    <w:rsid w:val="002C14D9"/>
    <w:rsid w:val="002E0122"/>
    <w:rsid w:val="002E27DE"/>
    <w:rsid w:val="002E3628"/>
    <w:rsid w:val="002E5C55"/>
    <w:rsid w:val="002E5EBE"/>
    <w:rsid w:val="002F1A34"/>
    <w:rsid w:val="002F6CC2"/>
    <w:rsid w:val="00303500"/>
    <w:rsid w:val="0031540A"/>
    <w:rsid w:val="0032045B"/>
    <w:rsid w:val="00320FEA"/>
    <w:rsid w:val="00322C06"/>
    <w:rsid w:val="00327ADF"/>
    <w:rsid w:val="0033737D"/>
    <w:rsid w:val="0034481A"/>
    <w:rsid w:val="00352AD6"/>
    <w:rsid w:val="00356056"/>
    <w:rsid w:val="00360539"/>
    <w:rsid w:val="00360B9D"/>
    <w:rsid w:val="003615E5"/>
    <w:rsid w:val="00374335"/>
    <w:rsid w:val="003761B9"/>
    <w:rsid w:val="003B6DF2"/>
    <w:rsid w:val="003C5AF1"/>
    <w:rsid w:val="003D37C9"/>
    <w:rsid w:val="003E0F53"/>
    <w:rsid w:val="003E4F75"/>
    <w:rsid w:val="003F044F"/>
    <w:rsid w:val="00400480"/>
    <w:rsid w:val="00400EC6"/>
    <w:rsid w:val="00403DE7"/>
    <w:rsid w:val="004078CB"/>
    <w:rsid w:val="004119E0"/>
    <w:rsid w:val="00414D58"/>
    <w:rsid w:val="00423E21"/>
    <w:rsid w:val="00424DB3"/>
    <w:rsid w:val="00425DE7"/>
    <w:rsid w:val="0042656D"/>
    <w:rsid w:val="00433117"/>
    <w:rsid w:val="00436B32"/>
    <w:rsid w:val="0045307E"/>
    <w:rsid w:val="004566F7"/>
    <w:rsid w:val="00460D67"/>
    <w:rsid w:val="00470B16"/>
    <w:rsid w:val="004738EF"/>
    <w:rsid w:val="00477172"/>
    <w:rsid w:val="004842B6"/>
    <w:rsid w:val="004842D5"/>
    <w:rsid w:val="004A0435"/>
    <w:rsid w:val="004A2735"/>
    <w:rsid w:val="004B1080"/>
    <w:rsid w:val="004C0B6C"/>
    <w:rsid w:val="004C3AD6"/>
    <w:rsid w:val="004C7BA0"/>
    <w:rsid w:val="004C7DD3"/>
    <w:rsid w:val="004D069E"/>
    <w:rsid w:val="004D0CCC"/>
    <w:rsid w:val="004E7315"/>
    <w:rsid w:val="004F460E"/>
    <w:rsid w:val="00504D4A"/>
    <w:rsid w:val="00522AC9"/>
    <w:rsid w:val="005271CC"/>
    <w:rsid w:val="00530C66"/>
    <w:rsid w:val="00540B6A"/>
    <w:rsid w:val="00542462"/>
    <w:rsid w:val="005433FC"/>
    <w:rsid w:val="00554BEE"/>
    <w:rsid w:val="00556BE7"/>
    <w:rsid w:val="00571108"/>
    <w:rsid w:val="00583C97"/>
    <w:rsid w:val="00591111"/>
    <w:rsid w:val="005A7520"/>
    <w:rsid w:val="005B09E4"/>
    <w:rsid w:val="005B4803"/>
    <w:rsid w:val="005B7D64"/>
    <w:rsid w:val="005E6CB4"/>
    <w:rsid w:val="005E7F29"/>
    <w:rsid w:val="005F0E25"/>
    <w:rsid w:val="005F36D1"/>
    <w:rsid w:val="00600AAF"/>
    <w:rsid w:val="006059F4"/>
    <w:rsid w:val="00641E96"/>
    <w:rsid w:val="006519C1"/>
    <w:rsid w:val="006533BE"/>
    <w:rsid w:val="00655CED"/>
    <w:rsid w:val="00655F9F"/>
    <w:rsid w:val="00660094"/>
    <w:rsid w:val="0066274D"/>
    <w:rsid w:val="006877F1"/>
    <w:rsid w:val="00691130"/>
    <w:rsid w:val="006933B5"/>
    <w:rsid w:val="006A1C28"/>
    <w:rsid w:val="006A2177"/>
    <w:rsid w:val="006B104A"/>
    <w:rsid w:val="006B23FE"/>
    <w:rsid w:val="006B4BCB"/>
    <w:rsid w:val="006C4B05"/>
    <w:rsid w:val="006C6A3D"/>
    <w:rsid w:val="006C6E8C"/>
    <w:rsid w:val="006D163E"/>
    <w:rsid w:val="006D36CC"/>
    <w:rsid w:val="006D5D35"/>
    <w:rsid w:val="006F7ED2"/>
    <w:rsid w:val="00705E29"/>
    <w:rsid w:val="00710B1F"/>
    <w:rsid w:val="007131C3"/>
    <w:rsid w:val="007267F5"/>
    <w:rsid w:val="00736AE5"/>
    <w:rsid w:val="00737B06"/>
    <w:rsid w:val="00742C70"/>
    <w:rsid w:val="00754A11"/>
    <w:rsid w:val="00756AC8"/>
    <w:rsid w:val="00764397"/>
    <w:rsid w:val="00784A08"/>
    <w:rsid w:val="00786C53"/>
    <w:rsid w:val="0079050B"/>
    <w:rsid w:val="007A01D6"/>
    <w:rsid w:val="007A085D"/>
    <w:rsid w:val="007B748B"/>
    <w:rsid w:val="007C5790"/>
    <w:rsid w:val="008035D5"/>
    <w:rsid w:val="00803E72"/>
    <w:rsid w:val="00811491"/>
    <w:rsid w:val="00813D8B"/>
    <w:rsid w:val="00813ECE"/>
    <w:rsid w:val="00815377"/>
    <w:rsid w:val="00833376"/>
    <w:rsid w:val="008336B4"/>
    <w:rsid w:val="00833BF3"/>
    <w:rsid w:val="00836BB8"/>
    <w:rsid w:val="00850003"/>
    <w:rsid w:val="00850526"/>
    <w:rsid w:val="00862ACE"/>
    <w:rsid w:val="008662DA"/>
    <w:rsid w:val="00871827"/>
    <w:rsid w:val="008721E9"/>
    <w:rsid w:val="00872A52"/>
    <w:rsid w:val="00876F50"/>
    <w:rsid w:val="00880C02"/>
    <w:rsid w:val="008831B0"/>
    <w:rsid w:val="008852A0"/>
    <w:rsid w:val="008854C3"/>
    <w:rsid w:val="00885780"/>
    <w:rsid w:val="00890525"/>
    <w:rsid w:val="00893E72"/>
    <w:rsid w:val="008A07E9"/>
    <w:rsid w:val="008A6827"/>
    <w:rsid w:val="008B22A2"/>
    <w:rsid w:val="008B29FF"/>
    <w:rsid w:val="008D73FF"/>
    <w:rsid w:val="008F0E48"/>
    <w:rsid w:val="008F1152"/>
    <w:rsid w:val="0090127A"/>
    <w:rsid w:val="00903B03"/>
    <w:rsid w:val="009053A0"/>
    <w:rsid w:val="00907F29"/>
    <w:rsid w:val="00914F68"/>
    <w:rsid w:val="00930530"/>
    <w:rsid w:val="00932EE9"/>
    <w:rsid w:val="00947589"/>
    <w:rsid w:val="00965DD7"/>
    <w:rsid w:val="009675F5"/>
    <w:rsid w:val="00972A21"/>
    <w:rsid w:val="00984BB7"/>
    <w:rsid w:val="0099008B"/>
    <w:rsid w:val="00990DCE"/>
    <w:rsid w:val="00997ABD"/>
    <w:rsid w:val="009A311C"/>
    <w:rsid w:val="009A7568"/>
    <w:rsid w:val="009B779E"/>
    <w:rsid w:val="009C2190"/>
    <w:rsid w:val="009C5886"/>
    <w:rsid w:val="009C79D8"/>
    <w:rsid w:val="009D06CC"/>
    <w:rsid w:val="009D6176"/>
    <w:rsid w:val="009E5A44"/>
    <w:rsid w:val="009F5003"/>
    <w:rsid w:val="00A03E65"/>
    <w:rsid w:val="00A10DE0"/>
    <w:rsid w:val="00A1196B"/>
    <w:rsid w:val="00A23BB0"/>
    <w:rsid w:val="00A354EC"/>
    <w:rsid w:val="00A53C81"/>
    <w:rsid w:val="00A75823"/>
    <w:rsid w:val="00AA4E11"/>
    <w:rsid w:val="00AA7BFB"/>
    <w:rsid w:val="00AB18CB"/>
    <w:rsid w:val="00AB2328"/>
    <w:rsid w:val="00AC5410"/>
    <w:rsid w:val="00B01857"/>
    <w:rsid w:val="00B02906"/>
    <w:rsid w:val="00B1453C"/>
    <w:rsid w:val="00B34A87"/>
    <w:rsid w:val="00B377C4"/>
    <w:rsid w:val="00B40F74"/>
    <w:rsid w:val="00B43E66"/>
    <w:rsid w:val="00B50AE6"/>
    <w:rsid w:val="00B54BA7"/>
    <w:rsid w:val="00B61F00"/>
    <w:rsid w:val="00B65C21"/>
    <w:rsid w:val="00B665C0"/>
    <w:rsid w:val="00B6705E"/>
    <w:rsid w:val="00B801BB"/>
    <w:rsid w:val="00B81EB7"/>
    <w:rsid w:val="00B83D04"/>
    <w:rsid w:val="00B92341"/>
    <w:rsid w:val="00B932C7"/>
    <w:rsid w:val="00B95788"/>
    <w:rsid w:val="00BA38DA"/>
    <w:rsid w:val="00BA5E9A"/>
    <w:rsid w:val="00BB59DB"/>
    <w:rsid w:val="00BC3C2B"/>
    <w:rsid w:val="00BD0E85"/>
    <w:rsid w:val="00BE4D35"/>
    <w:rsid w:val="00BF0F52"/>
    <w:rsid w:val="00C0162B"/>
    <w:rsid w:val="00C03348"/>
    <w:rsid w:val="00C17E7A"/>
    <w:rsid w:val="00C217BF"/>
    <w:rsid w:val="00C21E04"/>
    <w:rsid w:val="00C23F9E"/>
    <w:rsid w:val="00C3683C"/>
    <w:rsid w:val="00C461EC"/>
    <w:rsid w:val="00C4757E"/>
    <w:rsid w:val="00C562AA"/>
    <w:rsid w:val="00C63E2B"/>
    <w:rsid w:val="00C65DCF"/>
    <w:rsid w:val="00C65E72"/>
    <w:rsid w:val="00C66F39"/>
    <w:rsid w:val="00C70F12"/>
    <w:rsid w:val="00C738E2"/>
    <w:rsid w:val="00C934AF"/>
    <w:rsid w:val="00CA314A"/>
    <w:rsid w:val="00CB508D"/>
    <w:rsid w:val="00CC2056"/>
    <w:rsid w:val="00CC793C"/>
    <w:rsid w:val="00CF2AD6"/>
    <w:rsid w:val="00CF458F"/>
    <w:rsid w:val="00D04BF4"/>
    <w:rsid w:val="00D2537C"/>
    <w:rsid w:val="00D26956"/>
    <w:rsid w:val="00D527ED"/>
    <w:rsid w:val="00D545D6"/>
    <w:rsid w:val="00D561EE"/>
    <w:rsid w:val="00D7195F"/>
    <w:rsid w:val="00D72BDA"/>
    <w:rsid w:val="00D832AA"/>
    <w:rsid w:val="00D8525D"/>
    <w:rsid w:val="00D92623"/>
    <w:rsid w:val="00DD1EA2"/>
    <w:rsid w:val="00DD6466"/>
    <w:rsid w:val="00DE6A63"/>
    <w:rsid w:val="00DF19C8"/>
    <w:rsid w:val="00E04054"/>
    <w:rsid w:val="00E1289B"/>
    <w:rsid w:val="00E2040D"/>
    <w:rsid w:val="00E4080C"/>
    <w:rsid w:val="00E43ED0"/>
    <w:rsid w:val="00E549CB"/>
    <w:rsid w:val="00E941A6"/>
    <w:rsid w:val="00E946D7"/>
    <w:rsid w:val="00EB05F1"/>
    <w:rsid w:val="00EB1424"/>
    <w:rsid w:val="00EB6F57"/>
    <w:rsid w:val="00EC1483"/>
    <w:rsid w:val="00ED7886"/>
    <w:rsid w:val="00EE05C3"/>
    <w:rsid w:val="00EE4711"/>
    <w:rsid w:val="00EE59D1"/>
    <w:rsid w:val="00EF3EE9"/>
    <w:rsid w:val="00F01287"/>
    <w:rsid w:val="00F1283B"/>
    <w:rsid w:val="00F12CCE"/>
    <w:rsid w:val="00F25745"/>
    <w:rsid w:val="00F32110"/>
    <w:rsid w:val="00F33362"/>
    <w:rsid w:val="00F34E65"/>
    <w:rsid w:val="00F44EC4"/>
    <w:rsid w:val="00F506ED"/>
    <w:rsid w:val="00F63CE3"/>
    <w:rsid w:val="00F903AD"/>
    <w:rsid w:val="00F93BB7"/>
    <w:rsid w:val="00F955DA"/>
    <w:rsid w:val="00FA4746"/>
    <w:rsid w:val="00FB1000"/>
    <w:rsid w:val="00FB4F52"/>
    <w:rsid w:val="00FB698F"/>
    <w:rsid w:val="00FB7D5E"/>
    <w:rsid w:val="00FC238F"/>
    <w:rsid w:val="00FD05B8"/>
    <w:rsid w:val="00FD493D"/>
    <w:rsid w:val="00FE0054"/>
    <w:rsid w:val="00FE0BED"/>
    <w:rsid w:val="00FE0EB5"/>
    <w:rsid w:val="00FE3A2E"/>
    <w:rsid w:val="00FE5B62"/>
    <w:rsid w:val="00FE6833"/>
    <w:rsid w:val="00FE7E98"/>
    <w:rsid w:val="00FF37A9"/>
    <w:rsid w:val="00FF613C"/>
    <w:rsid w:val="03943001"/>
    <w:rsid w:val="04587C13"/>
    <w:rsid w:val="064A4AEA"/>
    <w:rsid w:val="07074474"/>
    <w:rsid w:val="080C0D31"/>
    <w:rsid w:val="0BD97B83"/>
    <w:rsid w:val="0C096ECE"/>
    <w:rsid w:val="0C7D1B02"/>
    <w:rsid w:val="0E84430C"/>
    <w:rsid w:val="0E89539A"/>
    <w:rsid w:val="199C090A"/>
    <w:rsid w:val="19A22168"/>
    <w:rsid w:val="24E14EA9"/>
    <w:rsid w:val="2603034D"/>
    <w:rsid w:val="27D83E37"/>
    <w:rsid w:val="30B323AA"/>
    <w:rsid w:val="3639019D"/>
    <w:rsid w:val="366D0A5A"/>
    <w:rsid w:val="37E264BE"/>
    <w:rsid w:val="3B5A09D2"/>
    <w:rsid w:val="3C1F4EF7"/>
    <w:rsid w:val="3D7A36A2"/>
    <w:rsid w:val="3FDA1CEA"/>
    <w:rsid w:val="44521CE1"/>
    <w:rsid w:val="45E30D6D"/>
    <w:rsid w:val="48430D83"/>
    <w:rsid w:val="48E36BD0"/>
    <w:rsid w:val="493C4854"/>
    <w:rsid w:val="4A504073"/>
    <w:rsid w:val="4B3065B7"/>
    <w:rsid w:val="4B9767E9"/>
    <w:rsid w:val="4BB44320"/>
    <w:rsid w:val="50072311"/>
    <w:rsid w:val="540F5340"/>
    <w:rsid w:val="545D1EDB"/>
    <w:rsid w:val="5AF72894"/>
    <w:rsid w:val="5BCF5C6B"/>
    <w:rsid w:val="5CCA3C2E"/>
    <w:rsid w:val="64674BC8"/>
    <w:rsid w:val="657F128B"/>
    <w:rsid w:val="69113CA3"/>
    <w:rsid w:val="6BE02690"/>
    <w:rsid w:val="709C1946"/>
    <w:rsid w:val="71BC07BB"/>
    <w:rsid w:val="726A4F14"/>
    <w:rsid w:val="7701156C"/>
    <w:rsid w:val="771930F2"/>
    <w:rsid w:val="77EF4398"/>
    <w:rsid w:val="77FBA037"/>
    <w:rsid w:val="79270361"/>
    <w:rsid w:val="79467153"/>
    <w:rsid w:val="7E6E6D82"/>
    <w:rsid w:val="7FBF45BB"/>
    <w:rsid w:val="BBFB6074"/>
    <w:rsid w:val="FD5F4341"/>
    <w:rsid w:val="FFDB53E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alloon Text"/>
    <w:basedOn w:val="1"/>
    <w:link w:val="8"/>
    <w:qFormat/>
    <w:uiPriority w:val="0"/>
    <w:rPr>
      <w:sz w:val="18"/>
      <w:szCs w:val="18"/>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Char"/>
    <w:link w:val="4"/>
    <w:qFormat/>
    <w:uiPriority w:val="0"/>
    <w:rPr>
      <w:rFonts w:ascii="Calibri" w:hAnsi="Calibri"/>
      <w:kern w:val="2"/>
      <w:sz w:val="18"/>
      <w:szCs w:val="18"/>
    </w:rPr>
  </w:style>
  <w:style w:type="character" w:customStyle="1" w:styleId="8">
    <w:name w:val="批注框文本 Char"/>
    <w:link w:val="2"/>
    <w:qFormat/>
    <w:uiPriority w:val="0"/>
    <w:rPr>
      <w:rFonts w:ascii="Calibri" w:hAnsi="Calibri"/>
      <w:kern w:val="2"/>
      <w:sz w:val="18"/>
      <w:szCs w:val="18"/>
    </w:rPr>
  </w:style>
  <w:style w:type="character" w:customStyle="1" w:styleId="9">
    <w:name w:val="页脚 Char"/>
    <w:link w:val="3"/>
    <w:qFormat/>
    <w:uiPriority w:val="0"/>
    <w:rPr>
      <w:rFonts w:ascii="Calibri" w:hAnsi="Calibri"/>
      <w:kern w:val="2"/>
      <w:sz w:val="18"/>
      <w:szCs w:val="18"/>
    </w:rPr>
  </w:style>
  <w:style w:type="character" w:customStyle="1" w:styleId="10">
    <w:name w:val="fontstyle21"/>
    <w:basedOn w:val="6"/>
    <w:qFormat/>
    <w:uiPriority w:val="0"/>
    <w:rPr>
      <w:rFonts w:ascii="DejaVuSans" w:hAnsi="DejaVuSans" w:eastAsia="DejaVuSans" w:cs="DejaVuSans"/>
      <w:color w:val="FF0000"/>
      <w:sz w:val="28"/>
      <w:szCs w:val="28"/>
    </w:rPr>
  </w:style>
  <w:style w:type="character" w:customStyle="1" w:styleId="11">
    <w:name w:val="fontstyle01"/>
    <w:basedOn w:val="6"/>
    <w:uiPriority w:val="0"/>
    <w:rPr>
      <w:rFonts w:ascii="WenQuanYiZenHei" w:hAnsi="WenQuanYiZenHei" w:eastAsia="WenQuanYiZenHei" w:cs="WenQuanYiZenHei"/>
      <w:color w:val="FF0000"/>
      <w:sz w:val="28"/>
      <w:szCs w:val="28"/>
    </w:rPr>
  </w:style>
  <w:style w:type="character" w:customStyle="1" w:styleId="12">
    <w:name w:val="fontstyle31"/>
    <w:basedOn w:val="6"/>
    <w:qFormat/>
    <w:uiPriority w:val="0"/>
    <w:rPr>
      <w:rFonts w:ascii="AdobeSongStd-Light-Identity-H" w:hAnsi="AdobeSongStd-Light-Identity-H" w:eastAsia="AdobeSongStd-Light-Identity-H" w:cs="AdobeSongStd-Light-Identity-H"/>
      <w:color w:val="FF0000"/>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Pages>
  <Words>454</Words>
  <Characters>2593</Characters>
  <Lines>21</Lines>
  <Paragraphs>6</Paragraphs>
  <TotalTime>0</TotalTime>
  <ScaleCrop>false</ScaleCrop>
  <LinksUpToDate>false</LinksUpToDate>
  <CharactersWithSpaces>3041</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2021-09-16T02:07:00Z</dcterms:created>
  <dc:creator>谢斐</dc:creator>
  <cp:lastModifiedBy>橙子制片</cp:lastModifiedBy>
  <cp:lastPrinted>2022-01-26T00:39:00Z</cp:lastPrinted>
  <dcterms:modified xsi:type="dcterms:W3CDTF">2023-03-03T06:27:22Z</dcterms:modified>
  <dc:title>2017年度省级部门预算公开参考格式</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2796A8C7331B4F2A8D028126A10DB4DC</vt:lpwstr>
  </property>
</Properties>
</file>